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A874FC0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92434A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23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3061575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92434A">
        <w:rPr>
          <w:rFonts w:ascii="Arial" w:hAnsi="Arial" w:cs="Arial"/>
          <w:bCs/>
          <w:color w:val="800000"/>
          <w:sz w:val="20"/>
          <w:szCs w:val="20"/>
        </w:rPr>
        <w:t>Altera o § 1° e acresce os incisos I e II ao Artigo 3°, da Lei Municipal n° 5.351, de 14 de julho de 2020,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5639906E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27334">
        <w:rPr>
          <w:rFonts w:ascii="Arial" w:hAnsi="Arial" w:cs="Arial"/>
          <w:bCs/>
          <w:sz w:val="20"/>
          <w:szCs w:val="20"/>
        </w:rPr>
        <w:t>Fica</w:t>
      </w:r>
      <w:proofErr w:type="gramEnd"/>
      <w:r w:rsidR="00127334">
        <w:rPr>
          <w:rFonts w:ascii="Arial" w:hAnsi="Arial" w:cs="Arial"/>
          <w:bCs/>
          <w:sz w:val="20"/>
          <w:szCs w:val="20"/>
        </w:rPr>
        <w:t xml:space="preserve"> </w:t>
      </w:r>
      <w:r w:rsidR="00AB2005">
        <w:rPr>
          <w:rFonts w:ascii="Arial" w:hAnsi="Arial" w:cs="Arial"/>
          <w:bCs/>
          <w:sz w:val="20"/>
          <w:szCs w:val="20"/>
        </w:rPr>
        <w:t xml:space="preserve">alterado o § 1° e acresce os incisos I e II ao artigo 3°, da Lei Municipal 5.351, de 14 de julho de 2020, que passará a ter a seguinte redação: </w:t>
      </w:r>
    </w:p>
    <w:p w14:paraId="7116251A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BC60F0" w14:textId="77C0B643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“Art. 3°</w:t>
      </w:r>
    </w:p>
    <w:p w14:paraId="752A8858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66B797" w14:textId="387242E6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[...]</w:t>
      </w:r>
    </w:p>
    <w:p w14:paraId="6BF3112A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D6F02C" w14:textId="498159B3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§ 1° A comprovação de inatividade ou de encerramento de atividades perante a Receita Federal do Brasil – RFB será aceita pela Prefeitura Municipal para fins de analise de pedidos de cancelamento de débitos e/ou isenção da cobrança da taxa de licenciamento (alvará), da seguinte forma: </w:t>
      </w:r>
    </w:p>
    <w:p w14:paraId="7A6E9BC8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5A4D0D8" w14:textId="69DBECC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A3CF9">
        <w:rPr>
          <w:rFonts w:ascii="Arial" w:hAnsi="Arial" w:cs="Arial"/>
          <w:bCs/>
          <w:sz w:val="20"/>
          <w:szCs w:val="20"/>
        </w:rPr>
        <w:t>I –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para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Pessoas Jurídicas inativas de fato, mas ainda não baixadas, a comprovação dar-se-á pela apresentação das declarações pertinentes (tais como DCTF, ECF ou declaração específica de inatividade) sem movimento econômico e operacional, para fins de cancelamento de débitos referentes ao período de inatividade comprovado; </w:t>
      </w:r>
    </w:p>
    <w:p w14:paraId="6CA5CC94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CCFF29" w14:textId="3BEEE780" w:rsidR="00AB2005" w:rsidRP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A3CF9">
        <w:rPr>
          <w:rFonts w:ascii="Arial" w:hAnsi="Arial" w:cs="Arial"/>
          <w:bCs/>
          <w:sz w:val="20"/>
          <w:szCs w:val="20"/>
        </w:rPr>
        <w:t>II –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>para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Pessoas Jurídicas cuja inscrição no CNPJ foi baixada na Receita Federal, a apresentação da Certidão de Baixa de Inscrição no CNPJ será considerada prova suficiente para a isenção no CNPJ será considerada prova suficiente para a isenção ou cancelamento da cobrança das taxas de alvará de funcionamento relativas ao período que se iniciar a partir da data da referida baixa federal. </w:t>
      </w:r>
    </w:p>
    <w:p w14:paraId="4667B488" w14:textId="77777777" w:rsidR="000E2059" w:rsidRDefault="000E2059" w:rsidP="003A3CF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88F917" w14:textId="689D3376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089B2E69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3D77B96F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>
        <w:rPr>
          <w:rFonts w:ascii="Arial" w:hAnsi="Arial" w:cs="Arial"/>
          <w:bCs/>
          <w:sz w:val="20"/>
          <w:szCs w:val="20"/>
        </w:rPr>
        <w:t>As despesas decorrentes da execução da presente Lei correrão por conta de dotação orçamentária própria, suplementada se necessário.</w:t>
      </w:r>
    </w:p>
    <w:p w14:paraId="45FBD96A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FCD722" w14:textId="01F7733F" w:rsidR="000E2059" w:rsidRP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° </w:t>
      </w:r>
      <w:r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37406251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3A3CF9">
        <w:rPr>
          <w:rFonts w:ascii="Arial" w:hAnsi="Arial" w:cs="Arial"/>
          <w:bCs/>
          <w:sz w:val="20"/>
          <w:szCs w:val="20"/>
        </w:rPr>
        <w:t>31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6E6852">
        <w:rPr>
          <w:rFonts w:ascii="Arial" w:hAnsi="Arial" w:cs="Arial"/>
          <w:bCs/>
          <w:sz w:val="20"/>
          <w:szCs w:val="20"/>
        </w:rPr>
        <w:t>o</w:t>
      </w:r>
      <w:r w:rsidR="003A3CF9">
        <w:rPr>
          <w:rFonts w:ascii="Arial" w:hAnsi="Arial" w:cs="Arial"/>
          <w:bCs/>
          <w:sz w:val="20"/>
          <w:szCs w:val="20"/>
        </w:rPr>
        <w:t>s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A3CF9">
        <w:rPr>
          <w:rFonts w:ascii="Arial" w:hAnsi="Arial" w:cs="Arial"/>
          <w:bCs/>
          <w:sz w:val="20"/>
          <w:szCs w:val="20"/>
        </w:rPr>
        <w:t xml:space="preserve">Vereadores Anderson Cardoso da Silva “Birruga” e Wladimir Panelli “Dr. Panelli”,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1E47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64A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2026-03-16T16:53:00Z</dcterms:created>
  <dcterms:modified xsi:type="dcterms:W3CDTF">2026-04-16T18:32:00Z</dcterms:modified>
</cp:coreProperties>
</file>