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683463FC"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BD3101">
        <w:rPr>
          <w:rFonts w:ascii="Arial" w:hAnsi="Arial" w:cs="Arial"/>
          <w:b/>
          <w:color w:val="000080"/>
          <w:sz w:val="20"/>
          <w:szCs w:val="20"/>
          <w:u w:val="single"/>
        </w:rPr>
        <w:t>90</w:t>
      </w:r>
      <w:r>
        <w:rPr>
          <w:rFonts w:ascii="Arial" w:hAnsi="Arial" w:cs="Arial"/>
          <w:b/>
          <w:color w:val="000080"/>
          <w:sz w:val="20"/>
          <w:szCs w:val="20"/>
          <w:u w:val="single"/>
        </w:rPr>
        <w:t xml:space="preserve">, DE </w:t>
      </w:r>
      <w:r w:rsidR="00BD3101">
        <w:rPr>
          <w:rFonts w:ascii="Arial" w:hAnsi="Arial" w:cs="Arial"/>
          <w:b/>
          <w:color w:val="000080"/>
          <w:sz w:val="20"/>
          <w:szCs w:val="20"/>
          <w:u w:val="single"/>
        </w:rPr>
        <w:t>1</w:t>
      </w:r>
      <w:r w:rsidR="00663175">
        <w:rPr>
          <w:rFonts w:ascii="Arial" w:hAnsi="Arial" w:cs="Arial"/>
          <w:b/>
          <w:color w:val="000080"/>
          <w:sz w:val="20"/>
          <w:szCs w:val="20"/>
          <w:u w:val="single"/>
        </w:rPr>
        <w:t>9</w:t>
      </w:r>
      <w:r w:rsidR="008C12F0">
        <w:rPr>
          <w:rFonts w:ascii="Arial" w:hAnsi="Arial" w:cs="Arial"/>
          <w:b/>
          <w:color w:val="000080"/>
          <w:sz w:val="20"/>
          <w:szCs w:val="20"/>
          <w:u w:val="single"/>
        </w:rPr>
        <w:t xml:space="preserve"> </w:t>
      </w:r>
      <w:r>
        <w:rPr>
          <w:rFonts w:ascii="Arial" w:hAnsi="Arial" w:cs="Arial"/>
          <w:b/>
          <w:color w:val="000080"/>
          <w:sz w:val="20"/>
          <w:szCs w:val="20"/>
          <w:u w:val="single"/>
        </w:rPr>
        <w:t xml:space="preserve">DE </w:t>
      </w:r>
      <w:r w:rsidR="00663175">
        <w:rPr>
          <w:rFonts w:ascii="Arial" w:hAnsi="Arial" w:cs="Arial"/>
          <w:b/>
          <w:color w:val="000080"/>
          <w:sz w:val="20"/>
          <w:szCs w:val="20"/>
          <w:u w:val="single"/>
        </w:rPr>
        <w:t>MARÇO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663175">
        <w:rPr>
          <w:rFonts w:ascii="Arial" w:hAnsi="Arial" w:cs="Arial"/>
          <w:b/>
          <w:color w:val="000080"/>
          <w:sz w:val="20"/>
          <w:szCs w:val="20"/>
          <w:u w:val="single"/>
        </w:rPr>
        <w:t>6</w:t>
      </w:r>
    </w:p>
    <w:p w14:paraId="34F2244F" w14:textId="77777777" w:rsidR="00FE5753" w:rsidRDefault="00FE5753" w:rsidP="00FE5753">
      <w:pPr>
        <w:spacing w:after="0" w:line="240" w:lineRule="auto"/>
        <w:jc w:val="both"/>
        <w:rPr>
          <w:rFonts w:ascii="Arial" w:hAnsi="Arial" w:cs="Arial"/>
          <w:bCs/>
          <w:color w:val="800000"/>
          <w:sz w:val="20"/>
          <w:szCs w:val="20"/>
        </w:rPr>
      </w:pPr>
    </w:p>
    <w:p w14:paraId="2DE92AD5" w14:textId="7E38F3A5" w:rsidR="00663175" w:rsidRDefault="00840FAC" w:rsidP="00995433">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BD3101">
        <w:rPr>
          <w:rFonts w:ascii="Arial" w:hAnsi="Arial" w:cs="Arial"/>
          <w:bCs/>
          <w:color w:val="800000"/>
          <w:sz w:val="20"/>
          <w:szCs w:val="20"/>
        </w:rPr>
        <w:t>Institui o Programa de Recuperação Fiscal – REFIS 2025 no Município de Caieiras,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58FD4D83" w14:textId="77777777" w:rsidR="008E72EF" w:rsidRPr="008E72EF" w:rsidRDefault="008E72EF" w:rsidP="008E72EF">
      <w:pPr>
        <w:spacing w:after="0" w:line="240" w:lineRule="auto"/>
        <w:ind w:firstLine="4502"/>
        <w:jc w:val="both"/>
        <w:rPr>
          <w:rFonts w:ascii="Arial" w:hAnsi="Arial" w:cs="Arial"/>
          <w:b/>
          <w:sz w:val="20"/>
          <w:szCs w:val="20"/>
        </w:rPr>
      </w:pPr>
    </w:p>
    <w:p w14:paraId="4F14644A" w14:textId="5D180C48" w:rsidR="004C3C23" w:rsidRDefault="008E72EF" w:rsidP="00BD3101">
      <w:pPr>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 xml:space="preserve">1º </w:t>
      </w:r>
      <w:r w:rsidR="00C124B6" w:rsidRPr="00C124B6">
        <w:rPr>
          <w:rFonts w:ascii="Arial" w:hAnsi="Arial" w:cs="Arial"/>
          <w:bCs/>
          <w:sz w:val="20"/>
          <w:szCs w:val="20"/>
        </w:rPr>
        <w:t> </w:t>
      </w:r>
      <w:r w:rsidR="00BD3101">
        <w:rPr>
          <w:rFonts w:ascii="Arial" w:hAnsi="Arial" w:cs="Arial"/>
          <w:bCs/>
          <w:sz w:val="20"/>
          <w:szCs w:val="20"/>
        </w:rPr>
        <w:t xml:space="preserve">Fica instituído o Programa de Recuperação Fiscal – Refis 2025 no Município de Caieiras, destinado a promover a regularização dos créditos do Município de origem tributária e não tributária, decorrentes de débitos do sujeito passivo, pessoa física ou jurídica, possibilitar a recuperação das empresas que atuam no Município, especialmente aquelas referidas no artigo 179 da Constituição Federal, em razão de fatos geradores ocorridos até 31 de dezembro de 2025, constituídos ou não, inscritos ou não em divida ativa, ajuizados ou a ajuizar, com exigibilidade suspensa ou não, inclusive os decorrentes de falta de recolhimento de valores retidos, na condição de substituto tributário. </w:t>
      </w:r>
    </w:p>
    <w:p w14:paraId="43E37259" w14:textId="77777777" w:rsidR="00BD3101" w:rsidRDefault="00BD3101" w:rsidP="00BD3101">
      <w:pPr>
        <w:spacing w:after="0"/>
        <w:ind w:firstLine="4502"/>
        <w:jc w:val="both"/>
        <w:rPr>
          <w:rFonts w:ascii="Arial" w:hAnsi="Arial" w:cs="Arial"/>
          <w:bCs/>
          <w:sz w:val="20"/>
          <w:szCs w:val="20"/>
        </w:rPr>
      </w:pPr>
    </w:p>
    <w:p w14:paraId="1EF0CA96" w14:textId="325AD946" w:rsidR="00BD3101" w:rsidRDefault="00BD3101" w:rsidP="00BD3101">
      <w:pPr>
        <w:spacing w:after="0"/>
        <w:ind w:firstLine="4502"/>
        <w:jc w:val="both"/>
        <w:rPr>
          <w:rFonts w:ascii="Arial" w:hAnsi="Arial" w:cs="Arial"/>
          <w:bCs/>
          <w:sz w:val="20"/>
          <w:szCs w:val="20"/>
        </w:rPr>
      </w:pPr>
      <w:r>
        <w:rPr>
          <w:rFonts w:ascii="Arial" w:hAnsi="Arial" w:cs="Arial"/>
          <w:b/>
          <w:sz w:val="20"/>
          <w:szCs w:val="20"/>
        </w:rPr>
        <w:t xml:space="preserve">§ 1° </w:t>
      </w:r>
      <w:r>
        <w:rPr>
          <w:rFonts w:ascii="Arial" w:hAnsi="Arial" w:cs="Arial"/>
          <w:bCs/>
          <w:sz w:val="20"/>
          <w:szCs w:val="20"/>
        </w:rPr>
        <w:t>A pessoa jurídica que suceder outra será responsável pelos tributos devidos pela sucedida, na hipótese dos arts. 132 e 133 do Código Tributário Nacional, e deverá solicitar convalidação da opção feita pela sucedida.</w:t>
      </w:r>
    </w:p>
    <w:p w14:paraId="23D46A8B" w14:textId="77777777" w:rsidR="00115451" w:rsidRDefault="00115451" w:rsidP="00BD3101">
      <w:pPr>
        <w:spacing w:after="0"/>
        <w:ind w:firstLine="4502"/>
        <w:jc w:val="both"/>
        <w:rPr>
          <w:rFonts w:ascii="Arial" w:hAnsi="Arial" w:cs="Arial"/>
          <w:bCs/>
          <w:sz w:val="20"/>
          <w:szCs w:val="20"/>
        </w:rPr>
      </w:pPr>
    </w:p>
    <w:p w14:paraId="0002471E" w14:textId="2FA2F4AC" w:rsidR="00115451" w:rsidRDefault="00115451" w:rsidP="00BD3101">
      <w:pPr>
        <w:spacing w:after="0"/>
        <w:ind w:firstLine="4502"/>
        <w:jc w:val="both"/>
        <w:rPr>
          <w:rFonts w:ascii="Arial" w:hAnsi="Arial" w:cs="Arial"/>
          <w:bCs/>
          <w:sz w:val="20"/>
          <w:szCs w:val="20"/>
        </w:rPr>
      </w:pPr>
      <w:r>
        <w:rPr>
          <w:rFonts w:ascii="Arial" w:hAnsi="Arial" w:cs="Arial"/>
          <w:b/>
          <w:sz w:val="20"/>
          <w:szCs w:val="20"/>
        </w:rPr>
        <w:t xml:space="preserve">§ 2° </w:t>
      </w:r>
      <w:r>
        <w:rPr>
          <w:rFonts w:ascii="Arial" w:hAnsi="Arial" w:cs="Arial"/>
          <w:bCs/>
          <w:sz w:val="20"/>
          <w:szCs w:val="20"/>
        </w:rPr>
        <w:t>Nos casos em que o contribuinte possuir débitos de mais de um tributo, ou débito tributário e não tributário, serão expedidos termos de parcelamento próprio para cada espécie de tributo.</w:t>
      </w:r>
    </w:p>
    <w:p w14:paraId="44C44666" w14:textId="77777777" w:rsidR="00442CD5" w:rsidRDefault="00442CD5" w:rsidP="00BD3101">
      <w:pPr>
        <w:spacing w:after="0"/>
        <w:ind w:firstLine="4502"/>
        <w:jc w:val="both"/>
        <w:rPr>
          <w:rFonts w:ascii="Arial" w:hAnsi="Arial" w:cs="Arial"/>
          <w:bCs/>
          <w:sz w:val="20"/>
          <w:szCs w:val="20"/>
        </w:rPr>
      </w:pPr>
    </w:p>
    <w:p w14:paraId="13660D1C" w14:textId="0D0D2AE7" w:rsidR="00027230" w:rsidRDefault="00442CD5" w:rsidP="00027230">
      <w:pPr>
        <w:spacing w:after="0"/>
        <w:ind w:firstLine="4502"/>
        <w:jc w:val="both"/>
        <w:rPr>
          <w:rFonts w:ascii="Arial" w:hAnsi="Arial" w:cs="Arial"/>
          <w:bCs/>
          <w:sz w:val="20"/>
          <w:szCs w:val="20"/>
        </w:rPr>
      </w:pPr>
      <w:r>
        <w:rPr>
          <w:rFonts w:ascii="Arial" w:hAnsi="Arial" w:cs="Arial"/>
          <w:b/>
          <w:sz w:val="20"/>
          <w:szCs w:val="20"/>
        </w:rPr>
        <w:t xml:space="preserve">§ 3° </w:t>
      </w:r>
      <w:r>
        <w:rPr>
          <w:rFonts w:ascii="Arial" w:hAnsi="Arial" w:cs="Arial"/>
          <w:bCs/>
          <w:sz w:val="20"/>
          <w:szCs w:val="20"/>
        </w:rPr>
        <w:t>Es</w:t>
      </w:r>
      <w:r w:rsidR="00027230">
        <w:rPr>
          <w:rFonts w:ascii="Arial" w:hAnsi="Arial" w:cs="Arial"/>
          <w:bCs/>
          <w:sz w:val="20"/>
          <w:szCs w:val="20"/>
        </w:rPr>
        <w:t>te programa não gera, em hipótese alguma, créditos para sujeitos passivos que se mantiveram em dia com suas obrigações fiscais.</w:t>
      </w:r>
    </w:p>
    <w:p w14:paraId="503CC942" w14:textId="77777777" w:rsidR="00027230" w:rsidRDefault="00027230" w:rsidP="00027230">
      <w:pPr>
        <w:spacing w:after="0"/>
        <w:ind w:firstLine="4502"/>
        <w:jc w:val="both"/>
        <w:rPr>
          <w:rFonts w:ascii="Arial" w:hAnsi="Arial" w:cs="Arial"/>
          <w:bCs/>
          <w:sz w:val="20"/>
          <w:szCs w:val="20"/>
        </w:rPr>
      </w:pPr>
    </w:p>
    <w:p w14:paraId="2950E0F6" w14:textId="0C0F9883" w:rsidR="00027230" w:rsidRDefault="00027230" w:rsidP="00027230">
      <w:pPr>
        <w:spacing w:after="0"/>
        <w:ind w:firstLine="4502"/>
        <w:jc w:val="both"/>
        <w:rPr>
          <w:rFonts w:ascii="Arial" w:hAnsi="Arial" w:cs="Arial"/>
          <w:bCs/>
          <w:sz w:val="20"/>
          <w:szCs w:val="20"/>
        </w:rPr>
      </w:pPr>
      <w:r>
        <w:rPr>
          <w:rFonts w:ascii="Arial" w:hAnsi="Arial" w:cs="Arial"/>
          <w:b/>
          <w:sz w:val="20"/>
          <w:szCs w:val="20"/>
        </w:rPr>
        <w:t xml:space="preserve">§ 4° </w:t>
      </w:r>
      <w:r>
        <w:rPr>
          <w:rFonts w:ascii="Arial" w:hAnsi="Arial" w:cs="Arial"/>
          <w:bCs/>
          <w:sz w:val="20"/>
          <w:szCs w:val="20"/>
        </w:rPr>
        <w:t>O ingresso no REFIS 2025 implica na totalidade do montante dos débitos referentes ao tributo a ser parcelado, relativos ao cadastro requerido pelo contribuinte, inclusive os não constituídos, que serão incluídos no programa mediante confissão e serão consolidados tendo por base a data da formalização do pedido de ingresso.</w:t>
      </w:r>
    </w:p>
    <w:p w14:paraId="28CB155B" w14:textId="77777777" w:rsidR="00027230" w:rsidRDefault="00027230" w:rsidP="00027230">
      <w:pPr>
        <w:spacing w:after="0"/>
        <w:ind w:firstLine="4502"/>
        <w:jc w:val="both"/>
        <w:rPr>
          <w:rFonts w:ascii="Arial" w:hAnsi="Arial" w:cs="Arial"/>
          <w:bCs/>
          <w:sz w:val="20"/>
          <w:szCs w:val="20"/>
        </w:rPr>
      </w:pPr>
    </w:p>
    <w:p w14:paraId="7E5F6972" w14:textId="7896EB58" w:rsidR="00027230" w:rsidRDefault="00027230" w:rsidP="00027230">
      <w:pPr>
        <w:spacing w:after="0"/>
        <w:ind w:firstLine="4502"/>
        <w:jc w:val="both"/>
        <w:rPr>
          <w:rFonts w:ascii="Arial" w:hAnsi="Arial" w:cs="Arial"/>
          <w:bCs/>
          <w:sz w:val="20"/>
          <w:szCs w:val="20"/>
        </w:rPr>
      </w:pPr>
      <w:r>
        <w:rPr>
          <w:rFonts w:ascii="Arial" w:hAnsi="Arial" w:cs="Arial"/>
          <w:b/>
          <w:sz w:val="20"/>
          <w:szCs w:val="20"/>
        </w:rPr>
        <w:t xml:space="preserve">5° </w:t>
      </w:r>
      <w:r>
        <w:rPr>
          <w:rFonts w:ascii="Arial" w:hAnsi="Arial" w:cs="Arial"/>
          <w:bCs/>
          <w:sz w:val="20"/>
          <w:szCs w:val="20"/>
        </w:rPr>
        <w:t>Para os efeitos desta Lei Complementar, considera-se montante do débito a somatória do valor principal, inscrito em dívida ativa ou não, seu saldo acrescido de multa de mora ou de oficio, juros de mora, atualização monetária, honorários advocatícios e demais encargos, e por consolidação considera-se a somatória de todos os montantes existentes em um mesmo registro de cadastro fiscal.</w:t>
      </w:r>
    </w:p>
    <w:p w14:paraId="44332E10" w14:textId="77777777" w:rsidR="00027230" w:rsidRDefault="00027230" w:rsidP="00027230">
      <w:pPr>
        <w:spacing w:after="0"/>
        <w:ind w:firstLine="4502"/>
        <w:jc w:val="both"/>
        <w:rPr>
          <w:rFonts w:ascii="Arial" w:hAnsi="Arial" w:cs="Arial"/>
          <w:bCs/>
          <w:sz w:val="20"/>
          <w:szCs w:val="20"/>
        </w:rPr>
      </w:pPr>
    </w:p>
    <w:p w14:paraId="57ADD62E" w14:textId="3B656D5A" w:rsidR="00027230" w:rsidRDefault="00027230" w:rsidP="00027230">
      <w:pPr>
        <w:spacing w:after="0"/>
        <w:ind w:firstLine="4502"/>
        <w:jc w:val="both"/>
        <w:rPr>
          <w:rFonts w:ascii="Arial" w:hAnsi="Arial" w:cs="Arial"/>
          <w:bCs/>
          <w:sz w:val="20"/>
          <w:szCs w:val="20"/>
        </w:rPr>
      </w:pPr>
      <w:r>
        <w:rPr>
          <w:rFonts w:ascii="Arial" w:hAnsi="Arial" w:cs="Arial"/>
          <w:b/>
          <w:sz w:val="20"/>
          <w:szCs w:val="20"/>
        </w:rPr>
        <w:t xml:space="preserve">§ 6° </w:t>
      </w:r>
      <w:r>
        <w:rPr>
          <w:rFonts w:ascii="Arial" w:hAnsi="Arial" w:cs="Arial"/>
          <w:bCs/>
          <w:sz w:val="20"/>
          <w:szCs w:val="20"/>
        </w:rPr>
        <w:t xml:space="preserve">A totalidade do montante dos débitos referentes ao tributo a ser parcelado, de que tratam os parágrafos anteriores, poderá ser apurada por exercício, cabendo ao contribuinte optar por quais exercícios integrarão o REFIS 2025. </w:t>
      </w:r>
    </w:p>
    <w:p w14:paraId="4B1D863C" w14:textId="77777777" w:rsidR="004E5226" w:rsidRDefault="004E5226" w:rsidP="00027230">
      <w:pPr>
        <w:spacing w:after="0"/>
        <w:ind w:firstLine="4502"/>
        <w:jc w:val="both"/>
        <w:rPr>
          <w:rFonts w:ascii="Arial" w:hAnsi="Arial" w:cs="Arial"/>
          <w:bCs/>
          <w:sz w:val="20"/>
          <w:szCs w:val="20"/>
        </w:rPr>
      </w:pPr>
    </w:p>
    <w:p w14:paraId="71C11CE0" w14:textId="551A86F1" w:rsidR="004E5226" w:rsidRDefault="004E5226" w:rsidP="00027230">
      <w:pPr>
        <w:spacing w:after="0"/>
        <w:ind w:firstLine="4502"/>
        <w:jc w:val="both"/>
        <w:rPr>
          <w:rFonts w:ascii="Arial" w:hAnsi="Arial" w:cs="Arial"/>
          <w:bCs/>
          <w:sz w:val="20"/>
          <w:szCs w:val="20"/>
        </w:rPr>
      </w:pPr>
      <w:r>
        <w:rPr>
          <w:rFonts w:ascii="Arial" w:hAnsi="Arial" w:cs="Arial"/>
          <w:b/>
          <w:sz w:val="20"/>
          <w:szCs w:val="20"/>
        </w:rPr>
        <w:t xml:space="preserve">Art. 2° </w:t>
      </w:r>
      <w:r>
        <w:rPr>
          <w:rFonts w:ascii="Arial" w:hAnsi="Arial" w:cs="Arial"/>
          <w:bCs/>
          <w:sz w:val="20"/>
          <w:szCs w:val="20"/>
        </w:rPr>
        <w:t>Os optantes do REFIS 2025 ora criado poderão parcelar seus débitos para com o fisco municipal em até 36 (trinta e seis) meses, da seguine forma:</w:t>
      </w:r>
    </w:p>
    <w:p w14:paraId="0A6622FE" w14:textId="77777777" w:rsidR="004E5226" w:rsidRDefault="004E5226" w:rsidP="00027230">
      <w:pPr>
        <w:spacing w:after="0"/>
        <w:ind w:firstLine="4502"/>
        <w:jc w:val="both"/>
        <w:rPr>
          <w:rFonts w:ascii="Arial" w:hAnsi="Arial" w:cs="Arial"/>
          <w:bCs/>
          <w:sz w:val="20"/>
          <w:szCs w:val="20"/>
        </w:rPr>
      </w:pPr>
    </w:p>
    <w:tbl>
      <w:tblPr>
        <w:tblStyle w:val="Estilo1"/>
        <w:tblW w:w="0" w:type="auto"/>
        <w:jc w:val="center"/>
        <w:tblLook w:val="04A0" w:firstRow="1" w:lastRow="0" w:firstColumn="1" w:lastColumn="0" w:noHBand="0" w:noVBand="1"/>
      </w:tblPr>
      <w:tblGrid>
        <w:gridCol w:w="2285"/>
        <w:gridCol w:w="4219"/>
      </w:tblGrid>
      <w:tr w:rsidR="004E5226" w14:paraId="35D78761" w14:textId="77777777" w:rsidTr="004E5226">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40386036" w14:textId="7FE80B2A" w:rsidR="004E5226" w:rsidRPr="004E5226" w:rsidRDefault="004E5226" w:rsidP="00027230">
            <w:pPr>
              <w:jc w:val="both"/>
              <w:rPr>
                <w:rFonts w:ascii="Arial" w:hAnsi="Arial" w:cs="Arial"/>
                <w:b/>
                <w:sz w:val="20"/>
                <w:szCs w:val="20"/>
              </w:rPr>
            </w:pPr>
            <w:r w:rsidRPr="004E5226">
              <w:rPr>
                <w:rFonts w:ascii="Arial" w:hAnsi="Arial" w:cs="Arial"/>
                <w:b/>
                <w:sz w:val="20"/>
                <w:szCs w:val="20"/>
              </w:rPr>
              <w:t>Número de parcelas</w:t>
            </w:r>
          </w:p>
        </w:tc>
        <w:tc>
          <w:tcPr>
            <w:tcW w:w="0" w:type="auto"/>
            <w:shd w:val="clear" w:color="auto" w:fill="D9D9D9" w:themeFill="background1" w:themeFillShade="D9"/>
          </w:tcPr>
          <w:p w14:paraId="4DCFBECC" w14:textId="001C1EAE" w:rsidR="004E5226" w:rsidRPr="004E5226" w:rsidRDefault="004E5226" w:rsidP="00027230">
            <w:pPr>
              <w:jc w:val="both"/>
              <w:rPr>
                <w:rFonts w:ascii="Arial" w:hAnsi="Arial" w:cs="Arial"/>
                <w:b/>
                <w:sz w:val="20"/>
                <w:szCs w:val="20"/>
              </w:rPr>
            </w:pPr>
            <w:r w:rsidRPr="004E5226">
              <w:rPr>
                <w:rFonts w:ascii="Arial" w:hAnsi="Arial" w:cs="Arial"/>
                <w:b/>
                <w:sz w:val="20"/>
                <w:szCs w:val="20"/>
              </w:rPr>
              <w:t>Percentual de Desconto de Juros e Multa</w:t>
            </w:r>
          </w:p>
        </w:tc>
      </w:tr>
      <w:tr w:rsidR="004E5226" w14:paraId="32F2E757" w14:textId="77777777" w:rsidTr="004E5226">
        <w:trPr>
          <w:jc w:val="center"/>
        </w:trPr>
        <w:tc>
          <w:tcPr>
            <w:tcW w:w="0" w:type="auto"/>
          </w:tcPr>
          <w:p w14:paraId="287163F7" w14:textId="7C8F3112" w:rsidR="004E5226" w:rsidRDefault="004E5226" w:rsidP="004E5226">
            <w:pPr>
              <w:rPr>
                <w:rFonts w:ascii="Arial" w:hAnsi="Arial" w:cs="Arial"/>
                <w:bCs/>
                <w:sz w:val="20"/>
                <w:szCs w:val="20"/>
              </w:rPr>
            </w:pPr>
            <w:r>
              <w:rPr>
                <w:rFonts w:ascii="Arial" w:hAnsi="Arial" w:cs="Arial"/>
                <w:bCs/>
                <w:sz w:val="20"/>
                <w:szCs w:val="20"/>
              </w:rPr>
              <w:t>Parcela única (à vista)</w:t>
            </w:r>
          </w:p>
        </w:tc>
        <w:tc>
          <w:tcPr>
            <w:tcW w:w="0" w:type="auto"/>
          </w:tcPr>
          <w:p w14:paraId="2114B866" w14:textId="0A00CCDE" w:rsidR="004E5226" w:rsidRDefault="004E5226" w:rsidP="004E5226">
            <w:pPr>
              <w:jc w:val="center"/>
              <w:rPr>
                <w:rFonts w:ascii="Arial" w:hAnsi="Arial" w:cs="Arial"/>
                <w:bCs/>
                <w:sz w:val="20"/>
                <w:szCs w:val="20"/>
              </w:rPr>
            </w:pPr>
            <w:r>
              <w:rPr>
                <w:rFonts w:ascii="Arial" w:hAnsi="Arial" w:cs="Arial"/>
                <w:bCs/>
                <w:sz w:val="20"/>
                <w:szCs w:val="20"/>
              </w:rPr>
              <w:t>100%</w:t>
            </w:r>
          </w:p>
        </w:tc>
      </w:tr>
      <w:tr w:rsidR="004E5226" w14:paraId="52E04526" w14:textId="77777777" w:rsidTr="004E5226">
        <w:trPr>
          <w:jc w:val="center"/>
        </w:trPr>
        <w:tc>
          <w:tcPr>
            <w:tcW w:w="0" w:type="auto"/>
          </w:tcPr>
          <w:p w14:paraId="2BA1B69E" w14:textId="793B5A1D" w:rsidR="004E5226" w:rsidRDefault="004E5226" w:rsidP="004E5226">
            <w:pPr>
              <w:rPr>
                <w:rFonts w:ascii="Arial" w:hAnsi="Arial" w:cs="Arial"/>
                <w:bCs/>
                <w:sz w:val="20"/>
                <w:szCs w:val="20"/>
              </w:rPr>
            </w:pPr>
            <w:r>
              <w:rPr>
                <w:rFonts w:ascii="Arial" w:hAnsi="Arial" w:cs="Arial"/>
                <w:bCs/>
                <w:sz w:val="20"/>
                <w:szCs w:val="20"/>
              </w:rPr>
              <w:t>Até 12 parcelas</w:t>
            </w:r>
          </w:p>
        </w:tc>
        <w:tc>
          <w:tcPr>
            <w:tcW w:w="0" w:type="auto"/>
          </w:tcPr>
          <w:p w14:paraId="75E7A635" w14:textId="39F7C14B" w:rsidR="004E5226" w:rsidRDefault="004E5226" w:rsidP="004E5226">
            <w:pPr>
              <w:jc w:val="center"/>
              <w:rPr>
                <w:rFonts w:ascii="Arial" w:hAnsi="Arial" w:cs="Arial"/>
                <w:bCs/>
                <w:sz w:val="20"/>
                <w:szCs w:val="20"/>
              </w:rPr>
            </w:pPr>
            <w:r>
              <w:rPr>
                <w:rFonts w:ascii="Arial" w:hAnsi="Arial" w:cs="Arial"/>
                <w:bCs/>
                <w:sz w:val="20"/>
                <w:szCs w:val="20"/>
              </w:rPr>
              <w:t>80%</w:t>
            </w:r>
          </w:p>
        </w:tc>
      </w:tr>
      <w:tr w:rsidR="004E5226" w14:paraId="587F1A30" w14:textId="77777777" w:rsidTr="004E5226">
        <w:trPr>
          <w:jc w:val="center"/>
        </w:trPr>
        <w:tc>
          <w:tcPr>
            <w:tcW w:w="0" w:type="auto"/>
          </w:tcPr>
          <w:p w14:paraId="00C9B36D" w14:textId="51A7BF54" w:rsidR="004E5226" w:rsidRDefault="004E5226" w:rsidP="004E5226">
            <w:pPr>
              <w:rPr>
                <w:rFonts w:ascii="Arial" w:hAnsi="Arial" w:cs="Arial"/>
                <w:bCs/>
                <w:sz w:val="20"/>
                <w:szCs w:val="20"/>
              </w:rPr>
            </w:pPr>
            <w:r>
              <w:rPr>
                <w:rFonts w:ascii="Arial" w:hAnsi="Arial" w:cs="Arial"/>
                <w:bCs/>
                <w:sz w:val="20"/>
                <w:szCs w:val="20"/>
              </w:rPr>
              <w:t>De 13 a 24 parcelas</w:t>
            </w:r>
          </w:p>
        </w:tc>
        <w:tc>
          <w:tcPr>
            <w:tcW w:w="0" w:type="auto"/>
          </w:tcPr>
          <w:p w14:paraId="54F5104C" w14:textId="28729EC5" w:rsidR="004E5226" w:rsidRDefault="004E5226" w:rsidP="004E5226">
            <w:pPr>
              <w:jc w:val="center"/>
              <w:rPr>
                <w:rFonts w:ascii="Arial" w:hAnsi="Arial" w:cs="Arial"/>
                <w:bCs/>
                <w:sz w:val="20"/>
                <w:szCs w:val="20"/>
              </w:rPr>
            </w:pPr>
            <w:r>
              <w:rPr>
                <w:rFonts w:ascii="Arial" w:hAnsi="Arial" w:cs="Arial"/>
                <w:bCs/>
                <w:sz w:val="20"/>
                <w:szCs w:val="20"/>
              </w:rPr>
              <w:t>60%</w:t>
            </w:r>
          </w:p>
        </w:tc>
      </w:tr>
      <w:tr w:rsidR="004E5226" w14:paraId="65B5E296" w14:textId="77777777" w:rsidTr="004E5226">
        <w:trPr>
          <w:jc w:val="center"/>
        </w:trPr>
        <w:tc>
          <w:tcPr>
            <w:tcW w:w="0" w:type="auto"/>
          </w:tcPr>
          <w:p w14:paraId="1F1C7BEE" w14:textId="35AFA429" w:rsidR="004E5226" w:rsidRDefault="004E5226" w:rsidP="004E5226">
            <w:pPr>
              <w:rPr>
                <w:rFonts w:ascii="Arial" w:hAnsi="Arial" w:cs="Arial"/>
                <w:bCs/>
                <w:sz w:val="20"/>
                <w:szCs w:val="20"/>
              </w:rPr>
            </w:pPr>
            <w:r>
              <w:rPr>
                <w:rFonts w:ascii="Arial" w:hAnsi="Arial" w:cs="Arial"/>
                <w:bCs/>
                <w:sz w:val="20"/>
                <w:szCs w:val="20"/>
              </w:rPr>
              <w:t>De 25 a 36 parcelas</w:t>
            </w:r>
          </w:p>
        </w:tc>
        <w:tc>
          <w:tcPr>
            <w:tcW w:w="0" w:type="auto"/>
          </w:tcPr>
          <w:p w14:paraId="22CB20CB" w14:textId="2D26C0EF" w:rsidR="004E5226" w:rsidRDefault="004E5226" w:rsidP="004E5226">
            <w:pPr>
              <w:jc w:val="center"/>
              <w:rPr>
                <w:rFonts w:ascii="Arial" w:hAnsi="Arial" w:cs="Arial"/>
                <w:bCs/>
                <w:sz w:val="20"/>
                <w:szCs w:val="20"/>
              </w:rPr>
            </w:pPr>
            <w:r>
              <w:rPr>
                <w:rFonts w:ascii="Arial" w:hAnsi="Arial" w:cs="Arial"/>
                <w:bCs/>
                <w:sz w:val="20"/>
                <w:szCs w:val="20"/>
              </w:rPr>
              <w:t>40%</w:t>
            </w:r>
          </w:p>
        </w:tc>
      </w:tr>
    </w:tbl>
    <w:p w14:paraId="74D7206B" w14:textId="77777777" w:rsidR="004E5226" w:rsidRDefault="004E5226" w:rsidP="00027230">
      <w:pPr>
        <w:spacing w:after="0"/>
        <w:ind w:firstLine="4502"/>
        <w:jc w:val="both"/>
        <w:rPr>
          <w:rFonts w:ascii="Arial" w:hAnsi="Arial" w:cs="Arial"/>
          <w:bCs/>
          <w:sz w:val="20"/>
          <w:szCs w:val="20"/>
        </w:rPr>
      </w:pPr>
    </w:p>
    <w:p w14:paraId="035E267B" w14:textId="0C25A0AA" w:rsidR="004E5226" w:rsidRDefault="004E5226" w:rsidP="00027230">
      <w:pPr>
        <w:spacing w:after="0"/>
        <w:ind w:firstLine="4502"/>
        <w:jc w:val="both"/>
        <w:rPr>
          <w:rFonts w:ascii="Arial" w:hAnsi="Arial" w:cs="Arial"/>
          <w:bCs/>
          <w:sz w:val="20"/>
          <w:szCs w:val="20"/>
        </w:rPr>
      </w:pPr>
      <w:r>
        <w:rPr>
          <w:rFonts w:ascii="Arial" w:hAnsi="Arial" w:cs="Arial"/>
          <w:b/>
          <w:sz w:val="20"/>
          <w:szCs w:val="20"/>
        </w:rPr>
        <w:t xml:space="preserve">§ 1° </w:t>
      </w:r>
      <w:r w:rsidR="003447BB">
        <w:rPr>
          <w:rFonts w:ascii="Arial" w:hAnsi="Arial" w:cs="Arial"/>
          <w:bCs/>
          <w:sz w:val="20"/>
          <w:szCs w:val="20"/>
        </w:rPr>
        <w:t>No protocolo de requerimento de opção ao Programa a REFIS 2025, o contribuinte deverá recolher a primeira parcela, observando-se as formas de pagamento parcelado previstas neste artigo, sendo que o não recolhimento da primeira parcela implicará no indeferimento da adesão ao REFIS 2025.</w:t>
      </w:r>
    </w:p>
    <w:p w14:paraId="27CF2E82" w14:textId="77777777" w:rsidR="00F04376" w:rsidRDefault="00F04376" w:rsidP="00027230">
      <w:pPr>
        <w:spacing w:after="0"/>
        <w:ind w:firstLine="4502"/>
        <w:jc w:val="both"/>
        <w:rPr>
          <w:rFonts w:ascii="Arial" w:hAnsi="Arial" w:cs="Arial"/>
          <w:bCs/>
          <w:sz w:val="20"/>
          <w:szCs w:val="20"/>
        </w:rPr>
      </w:pPr>
      <w:r w:rsidRPr="00F04376">
        <w:rPr>
          <w:rFonts w:ascii="Arial" w:hAnsi="Arial" w:cs="Arial"/>
          <w:b/>
          <w:sz w:val="20"/>
          <w:szCs w:val="20"/>
        </w:rPr>
        <w:t>§ 2º</w:t>
      </w:r>
      <w:r w:rsidRPr="00F04376">
        <w:rPr>
          <w:rFonts w:ascii="Arial" w:hAnsi="Arial" w:cs="Arial"/>
          <w:bCs/>
          <w:sz w:val="20"/>
          <w:szCs w:val="20"/>
        </w:rPr>
        <w:t xml:space="preserve"> As demais parcelas vencerão nos meses subsequentes ao acordo de parcelamento e em dia correspondente ao do primeiro pagamento, prorrogando o seu vencimento para o próximo dia útil subsequente, nos casos de finais de semanas, feriados ou dias sem expediente bancário. </w:t>
      </w:r>
    </w:p>
    <w:p w14:paraId="4B2A1B8E" w14:textId="77777777" w:rsidR="00F04376" w:rsidRDefault="00F04376" w:rsidP="00027230">
      <w:pPr>
        <w:spacing w:after="0"/>
        <w:ind w:firstLine="4502"/>
        <w:jc w:val="both"/>
        <w:rPr>
          <w:rFonts w:ascii="Arial" w:hAnsi="Arial" w:cs="Arial"/>
          <w:bCs/>
          <w:sz w:val="20"/>
          <w:szCs w:val="20"/>
        </w:rPr>
      </w:pPr>
    </w:p>
    <w:p w14:paraId="45E8DCF6" w14:textId="77777777" w:rsidR="00F04376" w:rsidRDefault="00F04376" w:rsidP="00027230">
      <w:pPr>
        <w:spacing w:after="0"/>
        <w:ind w:firstLine="4502"/>
        <w:jc w:val="both"/>
        <w:rPr>
          <w:rFonts w:ascii="Arial" w:hAnsi="Arial" w:cs="Arial"/>
          <w:bCs/>
          <w:sz w:val="20"/>
          <w:szCs w:val="20"/>
        </w:rPr>
      </w:pPr>
      <w:r w:rsidRPr="00F04376">
        <w:rPr>
          <w:rFonts w:ascii="Arial" w:hAnsi="Arial" w:cs="Arial"/>
          <w:b/>
          <w:sz w:val="20"/>
          <w:szCs w:val="20"/>
        </w:rPr>
        <w:t>§ 3º</w:t>
      </w:r>
      <w:r w:rsidRPr="00F04376">
        <w:rPr>
          <w:rFonts w:ascii="Arial" w:hAnsi="Arial" w:cs="Arial"/>
          <w:bCs/>
          <w:sz w:val="20"/>
          <w:szCs w:val="20"/>
        </w:rPr>
        <w:t xml:space="preserve"> O valor mínimo de cada parcela não poderá ser inferior a R$ 150,00 (cento e cinquenta reais) para pessoas jurídicas, e R$ 50,00 (cinquenta reais) para pessoas físicas. </w:t>
      </w:r>
    </w:p>
    <w:p w14:paraId="4DEB4CCF" w14:textId="77777777" w:rsidR="00F04376" w:rsidRDefault="00F04376" w:rsidP="00027230">
      <w:pPr>
        <w:spacing w:after="0"/>
        <w:ind w:firstLine="4502"/>
        <w:jc w:val="both"/>
        <w:rPr>
          <w:rFonts w:ascii="Arial" w:hAnsi="Arial" w:cs="Arial"/>
          <w:bCs/>
          <w:sz w:val="20"/>
          <w:szCs w:val="20"/>
        </w:rPr>
      </w:pPr>
    </w:p>
    <w:p w14:paraId="54ED95B7" w14:textId="11719845" w:rsidR="003447BB" w:rsidRDefault="00F04376" w:rsidP="00027230">
      <w:pPr>
        <w:spacing w:after="0"/>
        <w:ind w:firstLine="4502"/>
        <w:jc w:val="both"/>
        <w:rPr>
          <w:rFonts w:ascii="Arial" w:hAnsi="Arial" w:cs="Arial"/>
          <w:bCs/>
          <w:sz w:val="20"/>
          <w:szCs w:val="20"/>
        </w:rPr>
      </w:pPr>
      <w:r w:rsidRPr="00F04376">
        <w:rPr>
          <w:rFonts w:ascii="Arial" w:hAnsi="Arial" w:cs="Arial"/>
          <w:b/>
          <w:sz w:val="20"/>
          <w:szCs w:val="20"/>
        </w:rPr>
        <w:t>§ 4º</w:t>
      </w:r>
      <w:r w:rsidRPr="00F04376">
        <w:rPr>
          <w:rFonts w:ascii="Arial" w:hAnsi="Arial" w:cs="Arial"/>
          <w:bCs/>
          <w:sz w:val="20"/>
          <w:szCs w:val="20"/>
        </w:rPr>
        <w:t xml:space="preserve"> As parcelas não pagas nas datas aprazadas sofrerão incidência de multa de mora, correspondente aos dias de atraso; § 5º Os contribuintes que aderirem ao REFIS 2025, além das respectivas assinaturas no termo e pagamentos iniciais, deverão obrigatoriamente realizar a atualização cadastral imobiliária e/ou mobiliária, apresentar documentação hábil, fornecendo todas as cópias, informações e documentos solicitados pelo setor competente do Município, independente do pagamento da taxa. § 6º O termo de parcelamento objeto da presente Lei Complementar será considerado como título executivo extrajudicial, para todos os efeitos legais.</w:t>
      </w:r>
    </w:p>
    <w:p w14:paraId="14101609" w14:textId="77777777" w:rsidR="00F04376" w:rsidRDefault="00F04376" w:rsidP="00027230">
      <w:pPr>
        <w:spacing w:after="0"/>
        <w:ind w:firstLine="4502"/>
        <w:jc w:val="both"/>
        <w:rPr>
          <w:rFonts w:ascii="Arial" w:hAnsi="Arial" w:cs="Arial"/>
          <w:bCs/>
          <w:sz w:val="20"/>
          <w:szCs w:val="20"/>
        </w:rPr>
      </w:pPr>
    </w:p>
    <w:p w14:paraId="101ED0BC" w14:textId="78189267" w:rsidR="00F04376" w:rsidRDefault="00F04376" w:rsidP="00027230">
      <w:pPr>
        <w:spacing w:after="0"/>
        <w:ind w:firstLine="4502"/>
        <w:jc w:val="both"/>
        <w:rPr>
          <w:rFonts w:ascii="Arial" w:hAnsi="Arial" w:cs="Arial"/>
          <w:bCs/>
          <w:sz w:val="20"/>
          <w:szCs w:val="20"/>
        </w:rPr>
      </w:pPr>
      <w:r>
        <w:rPr>
          <w:rFonts w:ascii="Arial" w:hAnsi="Arial" w:cs="Arial"/>
          <w:b/>
          <w:sz w:val="20"/>
          <w:szCs w:val="20"/>
        </w:rPr>
        <w:t xml:space="preserve">Art. 3° </w:t>
      </w:r>
      <w:r>
        <w:rPr>
          <w:rFonts w:ascii="Arial" w:hAnsi="Arial" w:cs="Arial"/>
          <w:bCs/>
          <w:sz w:val="20"/>
          <w:szCs w:val="20"/>
        </w:rPr>
        <w:t xml:space="preserve">O ingresso no REFIS 2025 dar-se-á, por opção do contribuinte, que fará jus a este regime especial de consolidação de todos os débitos incluídos no Programa, sujeitando o optante aos efeitos previstos no artigo 174, parágrafo único do Código Tributário Nacional, no artigo 202, inciso VI do Código Civil e nas seguintes condições: </w:t>
      </w:r>
    </w:p>
    <w:p w14:paraId="7247E410" w14:textId="77777777" w:rsidR="009A5E88" w:rsidRDefault="009A5E88" w:rsidP="00027230">
      <w:pPr>
        <w:spacing w:after="0"/>
        <w:ind w:firstLine="4502"/>
        <w:jc w:val="both"/>
        <w:rPr>
          <w:rFonts w:ascii="Arial" w:hAnsi="Arial" w:cs="Arial"/>
          <w:bCs/>
          <w:sz w:val="20"/>
          <w:szCs w:val="20"/>
        </w:rPr>
      </w:pPr>
    </w:p>
    <w:p w14:paraId="7979CEA0"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I - </w:t>
      </w:r>
      <w:proofErr w:type="gramStart"/>
      <w:r w:rsidRPr="009A5E88">
        <w:rPr>
          <w:rFonts w:ascii="Arial" w:hAnsi="Arial" w:cs="Arial"/>
          <w:bCs/>
          <w:sz w:val="20"/>
          <w:szCs w:val="20"/>
        </w:rPr>
        <w:t>inclusão</w:t>
      </w:r>
      <w:proofErr w:type="gramEnd"/>
      <w:r w:rsidRPr="009A5E88">
        <w:rPr>
          <w:rFonts w:ascii="Arial" w:hAnsi="Arial" w:cs="Arial"/>
          <w:bCs/>
          <w:sz w:val="20"/>
          <w:szCs w:val="20"/>
        </w:rPr>
        <w:t xml:space="preserve"> da totalidade dos débitos em nome do sujeito passivo; II - confissão irrevogável e irretratável de todos os débitos consolidados;</w:t>
      </w:r>
    </w:p>
    <w:p w14:paraId="7268CEC3" w14:textId="77777777" w:rsidR="009A5E88" w:rsidRDefault="009A5E88" w:rsidP="009A5E88">
      <w:pPr>
        <w:spacing w:after="0"/>
        <w:ind w:firstLine="4502"/>
        <w:jc w:val="both"/>
        <w:rPr>
          <w:rFonts w:ascii="Arial" w:hAnsi="Arial" w:cs="Arial"/>
          <w:bCs/>
          <w:sz w:val="20"/>
          <w:szCs w:val="20"/>
        </w:rPr>
      </w:pPr>
    </w:p>
    <w:p w14:paraId="6DC21D45"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III - aceitação plena e irretratável de todas as condições estabelecidas nesta Lei Complementar, nos termos dos artigos 389 e 395 do Código de Processo Civil;</w:t>
      </w:r>
    </w:p>
    <w:p w14:paraId="0953488F" w14:textId="77777777" w:rsidR="009A5E88" w:rsidRDefault="009A5E88" w:rsidP="009A5E88">
      <w:pPr>
        <w:spacing w:after="0"/>
        <w:ind w:firstLine="4502"/>
        <w:jc w:val="both"/>
        <w:rPr>
          <w:rFonts w:ascii="Arial" w:hAnsi="Arial" w:cs="Arial"/>
          <w:bCs/>
          <w:sz w:val="20"/>
          <w:szCs w:val="20"/>
        </w:rPr>
      </w:pPr>
    </w:p>
    <w:p w14:paraId="0DB28F3F"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IV - </w:t>
      </w:r>
      <w:proofErr w:type="gramStart"/>
      <w:r w:rsidRPr="009A5E88">
        <w:rPr>
          <w:rFonts w:ascii="Arial" w:hAnsi="Arial" w:cs="Arial"/>
          <w:bCs/>
          <w:sz w:val="20"/>
          <w:szCs w:val="20"/>
        </w:rPr>
        <w:t>desistência</w:t>
      </w:r>
      <w:proofErr w:type="gramEnd"/>
      <w:r w:rsidRPr="009A5E88">
        <w:rPr>
          <w:rFonts w:ascii="Arial" w:hAnsi="Arial" w:cs="Arial"/>
          <w:bCs/>
          <w:sz w:val="20"/>
          <w:szCs w:val="20"/>
        </w:rPr>
        <w:t xml:space="preserve"> expressa e irrevogável de todas e quaisquer modalidades de ações, defesas, impugnações, embargos à execução e recursos administrativos ou judiciais existentes com relação aos débitos consolidados, renunciando ao direito em que se funda a sua pretensão. </w:t>
      </w:r>
    </w:p>
    <w:p w14:paraId="03E69E12" w14:textId="77777777" w:rsidR="009A5E88" w:rsidRDefault="009A5E88" w:rsidP="009A5E88">
      <w:pPr>
        <w:spacing w:after="0"/>
        <w:ind w:firstLine="4502"/>
        <w:jc w:val="both"/>
        <w:rPr>
          <w:rFonts w:ascii="Arial" w:hAnsi="Arial" w:cs="Arial"/>
          <w:bCs/>
          <w:sz w:val="20"/>
          <w:szCs w:val="20"/>
        </w:rPr>
      </w:pPr>
    </w:p>
    <w:p w14:paraId="2F218057"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1º O termo inicial para adesão ao REFIS 2025 será a data de publicação da presente Lei e o termo final será a data de 31 de dezembro de 2026.</w:t>
      </w:r>
    </w:p>
    <w:p w14:paraId="04B2045F" w14:textId="77777777" w:rsidR="009A5E88" w:rsidRDefault="009A5E88" w:rsidP="009A5E88">
      <w:pPr>
        <w:spacing w:after="0"/>
        <w:ind w:firstLine="4502"/>
        <w:jc w:val="both"/>
        <w:rPr>
          <w:rFonts w:ascii="Arial" w:hAnsi="Arial" w:cs="Arial"/>
          <w:bCs/>
          <w:sz w:val="20"/>
          <w:szCs w:val="20"/>
        </w:rPr>
      </w:pPr>
    </w:p>
    <w:p w14:paraId="0AF280D0"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 2º A concessão dos benefícios previstos nesta Lei Complementar: </w:t>
      </w:r>
    </w:p>
    <w:p w14:paraId="1CDF613D" w14:textId="77777777" w:rsidR="009A5E88" w:rsidRDefault="009A5E88" w:rsidP="009A5E88">
      <w:pPr>
        <w:spacing w:after="0"/>
        <w:ind w:firstLine="4502"/>
        <w:jc w:val="both"/>
        <w:rPr>
          <w:rFonts w:ascii="Arial" w:hAnsi="Arial" w:cs="Arial"/>
          <w:bCs/>
          <w:sz w:val="20"/>
          <w:szCs w:val="20"/>
        </w:rPr>
      </w:pPr>
    </w:p>
    <w:p w14:paraId="6DCECAF6"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I - </w:t>
      </w:r>
      <w:proofErr w:type="gramStart"/>
      <w:r w:rsidRPr="009A5E88">
        <w:rPr>
          <w:rFonts w:ascii="Arial" w:hAnsi="Arial" w:cs="Arial"/>
          <w:bCs/>
          <w:sz w:val="20"/>
          <w:szCs w:val="20"/>
        </w:rPr>
        <w:t>não</w:t>
      </w:r>
      <w:proofErr w:type="gramEnd"/>
      <w:r w:rsidRPr="009A5E88">
        <w:rPr>
          <w:rFonts w:ascii="Arial" w:hAnsi="Arial" w:cs="Arial"/>
          <w:bCs/>
          <w:sz w:val="20"/>
          <w:szCs w:val="20"/>
        </w:rPr>
        <w:t xml:space="preserve"> dispensa, na hipótese de débitos inscritos em dívida ativa, o pagamento das custas e dos emolumentos judiciais e, ainda, os honorários advocatícios;</w:t>
      </w:r>
    </w:p>
    <w:p w14:paraId="77CF60EC" w14:textId="77777777" w:rsidR="009A5E88" w:rsidRDefault="009A5E88" w:rsidP="009A5E88">
      <w:pPr>
        <w:spacing w:after="0"/>
        <w:ind w:firstLine="4502"/>
        <w:jc w:val="both"/>
        <w:rPr>
          <w:rFonts w:ascii="Arial" w:hAnsi="Arial" w:cs="Arial"/>
          <w:bCs/>
          <w:sz w:val="20"/>
          <w:szCs w:val="20"/>
        </w:rPr>
      </w:pPr>
    </w:p>
    <w:p w14:paraId="479F2D2A"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II - </w:t>
      </w:r>
      <w:proofErr w:type="gramStart"/>
      <w:r w:rsidRPr="009A5E88">
        <w:rPr>
          <w:rFonts w:ascii="Arial" w:hAnsi="Arial" w:cs="Arial"/>
          <w:bCs/>
          <w:sz w:val="20"/>
          <w:szCs w:val="20"/>
        </w:rPr>
        <w:t>não</w:t>
      </w:r>
      <w:proofErr w:type="gramEnd"/>
      <w:r w:rsidRPr="009A5E88">
        <w:rPr>
          <w:rFonts w:ascii="Arial" w:hAnsi="Arial" w:cs="Arial"/>
          <w:bCs/>
          <w:sz w:val="20"/>
          <w:szCs w:val="20"/>
        </w:rPr>
        <w:t xml:space="preserve"> autoriza a restituição, no todo ou em parte, de importância recolhida anteriormente ao início da vigência desta Lei Complementar;</w:t>
      </w:r>
    </w:p>
    <w:p w14:paraId="1C4BD008" w14:textId="77777777" w:rsidR="009A5E88" w:rsidRDefault="009A5E88" w:rsidP="009A5E88">
      <w:pPr>
        <w:spacing w:after="0"/>
        <w:ind w:firstLine="4502"/>
        <w:jc w:val="both"/>
        <w:rPr>
          <w:rFonts w:ascii="Arial" w:hAnsi="Arial" w:cs="Arial"/>
          <w:bCs/>
          <w:sz w:val="20"/>
          <w:szCs w:val="20"/>
        </w:rPr>
      </w:pPr>
    </w:p>
    <w:p w14:paraId="18970F4C" w14:textId="77777777"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III - o pagamento à vista ou a formalização do parcelamento, nos termos desta Lei Complementar, não acarretam novação prevista no inciso I do artigo 360 do Código Civil.</w:t>
      </w:r>
    </w:p>
    <w:p w14:paraId="0FFBB0B9" w14:textId="77777777" w:rsidR="009A5E88" w:rsidRDefault="009A5E88" w:rsidP="009A5E88">
      <w:pPr>
        <w:spacing w:after="0"/>
        <w:ind w:firstLine="4502"/>
        <w:jc w:val="both"/>
        <w:rPr>
          <w:rFonts w:ascii="Arial" w:hAnsi="Arial" w:cs="Arial"/>
          <w:bCs/>
          <w:sz w:val="20"/>
          <w:szCs w:val="20"/>
        </w:rPr>
      </w:pPr>
    </w:p>
    <w:p w14:paraId="225E9F7A" w14:textId="7632A548" w:rsidR="009A5E88" w:rsidRDefault="009A5E88" w:rsidP="009A5E88">
      <w:pPr>
        <w:spacing w:after="0"/>
        <w:ind w:firstLine="4502"/>
        <w:jc w:val="both"/>
        <w:rPr>
          <w:rFonts w:ascii="Arial" w:hAnsi="Arial" w:cs="Arial"/>
          <w:bCs/>
          <w:sz w:val="20"/>
          <w:szCs w:val="20"/>
        </w:rPr>
      </w:pPr>
      <w:r w:rsidRPr="009A5E88">
        <w:rPr>
          <w:rFonts w:ascii="Arial" w:hAnsi="Arial" w:cs="Arial"/>
          <w:bCs/>
          <w:sz w:val="20"/>
          <w:szCs w:val="20"/>
        </w:rPr>
        <w:t xml:space="preserve">§ 3º Quando se tratar de crédito em execução fiscal ou discutido em processo judicial em que a Municipalidade conste no polo ativo da ação, os processos somente serão extintos </w:t>
      </w:r>
      <w:r w:rsidRPr="009A5E88">
        <w:rPr>
          <w:rFonts w:ascii="Arial" w:hAnsi="Arial" w:cs="Arial"/>
          <w:bCs/>
          <w:sz w:val="20"/>
          <w:szCs w:val="20"/>
        </w:rPr>
        <w:lastRenderedPageBreak/>
        <w:t>após a confirmação do pagamento total do crédito, honorários e das custas, emolumentos processuais, que deve ser recolhido diretamente ao Poder Judiciário.</w:t>
      </w:r>
    </w:p>
    <w:p w14:paraId="2665B782" w14:textId="77777777" w:rsidR="009A5E88" w:rsidRDefault="009A5E88" w:rsidP="009A5E88">
      <w:pPr>
        <w:spacing w:after="0"/>
        <w:ind w:firstLine="4502"/>
        <w:jc w:val="both"/>
        <w:rPr>
          <w:rFonts w:ascii="Arial" w:hAnsi="Arial" w:cs="Arial"/>
          <w:bCs/>
          <w:sz w:val="20"/>
          <w:szCs w:val="20"/>
        </w:rPr>
      </w:pPr>
    </w:p>
    <w:p w14:paraId="04CF229E" w14:textId="10F9D18A" w:rsidR="009A5E88" w:rsidRPr="00F04376" w:rsidRDefault="009A5E88" w:rsidP="009A5E88">
      <w:pPr>
        <w:spacing w:after="0"/>
        <w:ind w:firstLine="4502"/>
        <w:jc w:val="both"/>
        <w:rPr>
          <w:rFonts w:ascii="Arial" w:hAnsi="Arial" w:cs="Arial"/>
          <w:bCs/>
          <w:sz w:val="20"/>
          <w:szCs w:val="20"/>
        </w:rPr>
      </w:pPr>
      <w:r w:rsidRPr="009A5E88">
        <w:rPr>
          <w:rFonts w:ascii="Arial" w:hAnsi="Arial" w:cs="Arial"/>
          <w:b/>
          <w:bCs/>
          <w:sz w:val="20"/>
          <w:szCs w:val="20"/>
        </w:rPr>
        <w:t>Art. 4º</w:t>
      </w:r>
      <w:r>
        <w:rPr>
          <w:rFonts w:ascii="Arial" w:hAnsi="Arial" w:cs="Arial"/>
          <w:b/>
          <w:bCs/>
          <w:sz w:val="20"/>
          <w:szCs w:val="20"/>
        </w:rPr>
        <w:t xml:space="preserve"> </w:t>
      </w:r>
      <w:r w:rsidRPr="009A5E88">
        <w:rPr>
          <w:rFonts w:ascii="Arial" w:hAnsi="Arial" w:cs="Arial"/>
          <w:sz w:val="20"/>
          <w:szCs w:val="20"/>
        </w:rPr>
        <w:t>O</w:t>
      </w:r>
      <w:r w:rsidRPr="009A5E88">
        <w:rPr>
          <w:rFonts w:ascii="Arial" w:hAnsi="Arial" w:cs="Arial"/>
          <w:b/>
          <w:bCs/>
          <w:sz w:val="20"/>
          <w:szCs w:val="20"/>
        </w:rPr>
        <w:t xml:space="preserve"> </w:t>
      </w:r>
      <w:r w:rsidRPr="009A5E88">
        <w:rPr>
          <w:rFonts w:ascii="Arial" w:hAnsi="Arial" w:cs="Arial"/>
          <w:bCs/>
          <w:sz w:val="20"/>
          <w:szCs w:val="20"/>
        </w:rPr>
        <w:t>contribuinte será excluído do REFIS 2025, e o parcelamento do débito será rescindido de pleno direito, independentemente de qualquer notificação prévia ou interpelação, judicial ou extrajudicial ao devedor, que implicará na imediata exigibilidade da totalidade do crédito ainda não pago, acrescido dos valores que haviam sido dispensados por esta Lei Complementar, devidamente atualizados nos termos da legislação municipal vigente, podendo o Município promover o ajuizamento dos débitos remanescentes, diante da ocorrência de qualquer uma das seguintes hipóteses:</w:t>
      </w:r>
    </w:p>
    <w:p w14:paraId="2150BF01" w14:textId="77777777" w:rsidR="004E5226" w:rsidRDefault="004E5226" w:rsidP="00027230">
      <w:pPr>
        <w:spacing w:after="0"/>
        <w:ind w:firstLine="4502"/>
        <w:jc w:val="both"/>
        <w:rPr>
          <w:rFonts w:ascii="Arial" w:hAnsi="Arial" w:cs="Arial"/>
          <w:bCs/>
          <w:sz w:val="20"/>
          <w:szCs w:val="20"/>
        </w:rPr>
      </w:pPr>
    </w:p>
    <w:p w14:paraId="505130A9" w14:textId="77777777" w:rsidR="009A5E88" w:rsidRDefault="009A5E88" w:rsidP="00027230">
      <w:pPr>
        <w:spacing w:after="0"/>
        <w:ind w:firstLine="4502"/>
        <w:jc w:val="both"/>
        <w:rPr>
          <w:rFonts w:ascii="Arial" w:hAnsi="Arial" w:cs="Arial"/>
          <w:bCs/>
          <w:sz w:val="20"/>
          <w:szCs w:val="20"/>
        </w:rPr>
      </w:pPr>
      <w:r w:rsidRPr="009A5E88">
        <w:rPr>
          <w:rFonts w:ascii="Arial" w:hAnsi="Arial" w:cs="Arial"/>
          <w:b/>
          <w:sz w:val="20"/>
          <w:szCs w:val="20"/>
        </w:rPr>
        <w:t xml:space="preserve">I </w:t>
      </w:r>
      <w:r w:rsidRPr="009A5E88">
        <w:rPr>
          <w:rFonts w:ascii="Arial" w:hAnsi="Arial" w:cs="Arial"/>
          <w:b/>
          <w:sz w:val="20"/>
          <w:szCs w:val="20"/>
        </w:rPr>
        <w:t>-</w:t>
      </w:r>
      <w:r w:rsidRPr="009A5E88">
        <w:rPr>
          <w:rFonts w:ascii="Arial" w:hAnsi="Arial" w:cs="Arial"/>
          <w:bCs/>
          <w:sz w:val="20"/>
          <w:szCs w:val="20"/>
        </w:rPr>
        <w:t xml:space="preserve"> </w:t>
      </w:r>
      <w:proofErr w:type="gramStart"/>
      <w:r w:rsidRPr="009A5E88">
        <w:rPr>
          <w:rFonts w:ascii="Arial" w:hAnsi="Arial" w:cs="Arial"/>
          <w:bCs/>
          <w:sz w:val="20"/>
          <w:szCs w:val="20"/>
        </w:rPr>
        <w:t>inobservância</w:t>
      </w:r>
      <w:proofErr w:type="gramEnd"/>
      <w:r w:rsidRPr="009A5E88">
        <w:rPr>
          <w:rFonts w:ascii="Arial" w:hAnsi="Arial" w:cs="Arial"/>
          <w:bCs/>
          <w:sz w:val="20"/>
          <w:szCs w:val="20"/>
        </w:rPr>
        <w:t xml:space="preserve"> de qualquer das exigências estabelecidas nesta Lei Complementar;</w:t>
      </w:r>
    </w:p>
    <w:p w14:paraId="75579B5E" w14:textId="77777777" w:rsidR="009A5E88" w:rsidRDefault="009A5E88" w:rsidP="00027230">
      <w:pPr>
        <w:spacing w:after="0"/>
        <w:ind w:firstLine="4502"/>
        <w:jc w:val="both"/>
        <w:rPr>
          <w:rFonts w:ascii="Arial" w:hAnsi="Arial" w:cs="Arial"/>
          <w:bCs/>
          <w:sz w:val="20"/>
          <w:szCs w:val="20"/>
        </w:rPr>
      </w:pPr>
    </w:p>
    <w:p w14:paraId="2C2EF56B"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II -</w:t>
      </w:r>
      <w:r w:rsidRPr="009A5E88">
        <w:rPr>
          <w:rFonts w:ascii="Arial" w:hAnsi="Arial" w:cs="Arial"/>
          <w:bCs/>
          <w:sz w:val="20"/>
          <w:szCs w:val="20"/>
        </w:rPr>
        <w:t xml:space="preserve"> </w:t>
      </w:r>
      <w:proofErr w:type="gramStart"/>
      <w:r w:rsidRPr="009A5E88">
        <w:rPr>
          <w:rFonts w:ascii="Arial" w:hAnsi="Arial" w:cs="Arial"/>
          <w:bCs/>
          <w:sz w:val="20"/>
          <w:szCs w:val="20"/>
        </w:rPr>
        <w:t>inadimplemento</w:t>
      </w:r>
      <w:proofErr w:type="gramEnd"/>
      <w:r w:rsidRPr="009A5E88">
        <w:rPr>
          <w:rFonts w:ascii="Arial" w:hAnsi="Arial" w:cs="Arial"/>
          <w:bCs/>
          <w:sz w:val="20"/>
          <w:szCs w:val="20"/>
        </w:rPr>
        <w:t xml:space="preserve"> de 2 (duas) parcelas consecutivas e/ou alternadas;</w:t>
      </w:r>
    </w:p>
    <w:p w14:paraId="61FAB0EE" w14:textId="77777777" w:rsidR="009A5E88" w:rsidRDefault="009A5E88" w:rsidP="009A5E88">
      <w:pPr>
        <w:spacing w:after="0"/>
        <w:ind w:firstLine="4502"/>
        <w:jc w:val="both"/>
        <w:rPr>
          <w:rFonts w:ascii="Arial" w:hAnsi="Arial" w:cs="Arial"/>
          <w:bCs/>
          <w:sz w:val="20"/>
          <w:szCs w:val="20"/>
        </w:rPr>
      </w:pPr>
    </w:p>
    <w:p w14:paraId="1E9AD725" w14:textId="2089CFEE"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III -</w:t>
      </w:r>
      <w:r w:rsidRPr="009A5E88">
        <w:rPr>
          <w:rFonts w:ascii="Arial" w:hAnsi="Arial" w:cs="Arial"/>
          <w:bCs/>
          <w:sz w:val="20"/>
          <w:szCs w:val="20"/>
        </w:rPr>
        <w:t xml:space="preserve"> a decretação de falência ou extinção pela liquidação da pessoa jurídica optante;</w:t>
      </w:r>
    </w:p>
    <w:p w14:paraId="031428A1" w14:textId="77777777" w:rsidR="009A5E88" w:rsidRDefault="009A5E88" w:rsidP="009A5E88">
      <w:pPr>
        <w:spacing w:after="0"/>
        <w:ind w:firstLine="4502"/>
        <w:jc w:val="both"/>
        <w:rPr>
          <w:rFonts w:ascii="Arial" w:hAnsi="Arial" w:cs="Arial"/>
          <w:bCs/>
          <w:sz w:val="20"/>
          <w:szCs w:val="20"/>
        </w:rPr>
      </w:pPr>
    </w:p>
    <w:p w14:paraId="6B5CFA37"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IV -</w:t>
      </w:r>
      <w:r w:rsidRPr="009A5E88">
        <w:rPr>
          <w:rFonts w:ascii="Arial" w:hAnsi="Arial" w:cs="Arial"/>
          <w:bCs/>
          <w:sz w:val="20"/>
          <w:szCs w:val="20"/>
        </w:rPr>
        <w:t xml:space="preserve"> </w:t>
      </w:r>
      <w:proofErr w:type="gramStart"/>
      <w:r w:rsidRPr="009A5E88">
        <w:rPr>
          <w:rFonts w:ascii="Arial" w:hAnsi="Arial" w:cs="Arial"/>
          <w:bCs/>
          <w:sz w:val="20"/>
          <w:szCs w:val="20"/>
        </w:rPr>
        <w:t>cisão</w:t>
      </w:r>
      <w:proofErr w:type="gramEnd"/>
      <w:r w:rsidRPr="009A5E88">
        <w:rPr>
          <w:rFonts w:ascii="Arial" w:hAnsi="Arial" w:cs="Arial"/>
          <w:bCs/>
          <w:sz w:val="20"/>
          <w:szCs w:val="20"/>
        </w:rPr>
        <w:t xml:space="preserve"> de pessoa jurídica, exceto se a sociedade nova oriunda da cisão ou aquela que incorporar a parte do patrimônio permanecer estabelecida no Município de Caieiras, e assumir solidariamente com a cindida as obrigações do REFIS;</w:t>
      </w:r>
    </w:p>
    <w:p w14:paraId="0AAF4502" w14:textId="77777777" w:rsidR="009A5E88" w:rsidRDefault="009A5E88" w:rsidP="009A5E88">
      <w:pPr>
        <w:spacing w:after="0"/>
        <w:ind w:firstLine="4502"/>
        <w:jc w:val="both"/>
        <w:rPr>
          <w:rFonts w:ascii="Arial" w:hAnsi="Arial" w:cs="Arial"/>
          <w:bCs/>
          <w:sz w:val="20"/>
          <w:szCs w:val="20"/>
        </w:rPr>
      </w:pPr>
    </w:p>
    <w:p w14:paraId="127C6D34" w14:textId="68F7EF96"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V -</w:t>
      </w:r>
      <w:r w:rsidRPr="009A5E88">
        <w:rPr>
          <w:rFonts w:ascii="Arial" w:hAnsi="Arial" w:cs="Arial"/>
          <w:bCs/>
          <w:sz w:val="20"/>
          <w:szCs w:val="20"/>
        </w:rPr>
        <w:t xml:space="preserve"> </w:t>
      </w:r>
      <w:proofErr w:type="gramStart"/>
      <w:r w:rsidRPr="009A5E88">
        <w:rPr>
          <w:rFonts w:ascii="Arial" w:hAnsi="Arial" w:cs="Arial"/>
          <w:bCs/>
          <w:sz w:val="20"/>
          <w:szCs w:val="20"/>
        </w:rPr>
        <w:t>a</w:t>
      </w:r>
      <w:proofErr w:type="gramEnd"/>
      <w:r w:rsidRPr="009A5E88">
        <w:rPr>
          <w:rFonts w:ascii="Arial" w:hAnsi="Arial" w:cs="Arial"/>
          <w:bCs/>
          <w:sz w:val="20"/>
          <w:szCs w:val="20"/>
        </w:rPr>
        <w:t xml:space="preserve"> prática mediante fraude, simulação ou qualquer outro ato tendente a omitir do fisco informações, com o objetivo de diminuir ou subtrair receita do erário municipal, que constitui a base de cálculo para lançamentos de tributos municipais.</w:t>
      </w:r>
    </w:p>
    <w:p w14:paraId="1FBAFC51" w14:textId="77777777" w:rsidR="009A5E88" w:rsidRDefault="009A5E88" w:rsidP="009A5E88">
      <w:pPr>
        <w:spacing w:after="0"/>
        <w:ind w:firstLine="4502"/>
        <w:jc w:val="both"/>
        <w:rPr>
          <w:rFonts w:ascii="Arial" w:hAnsi="Arial" w:cs="Arial"/>
          <w:bCs/>
          <w:sz w:val="20"/>
          <w:szCs w:val="20"/>
        </w:rPr>
      </w:pPr>
    </w:p>
    <w:p w14:paraId="16B06F12"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 1º</w:t>
      </w:r>
      <w:r w:rsidRPr="009A5E88">
        <w:rPr>
          <w:rFonts w:ascii="Arial" w:hAnsi="Arial" w:cs="Arial"/>
          <w:bCs/>
          <w:sz w:val="20"/>
          <w:szCs w:val="20"/>
        </w:rPr>
        <w:t xml:space="preserve"> A exclusão do contribuinte do REFIS 2025 acarretará a imediata exigibilidade da totalidade do débito tributário confessado e não pago, aplicando-se sobre o montante devido, os acréscimos legais, previstos na legislação municipal, à época da ocorrência dos respectivos fatos geradores, executando-se, automaticamente, as garantias eventualmente prestadas, prosseguindo-se as eventuais execuções fiscais ou imediata inscrição em dívida ativa do débito ainda não ajuizado e consequente cobrança judicial.</w:t>
      </w:r>
    </w:p>
    <w:p w14:paraId="1CA83B9A" w14:textId="77777777" w:rsidR="009A5E88" w:rsidRPr="009A5E88" w:rsidRDefault="009A5E88" w:rsidP="009A5E88">
      <w:pPr>
        <w:spacing w:after="0"/>
        <w:ind w:firstLine="4502"/>
        <w:jc w:val="both"/>
        <w:rPr>
          <w:rFonts w:ascii="Arial" w:hAnsi="Arial" w:cs="Arial"/>
          <w:b/>
          <w:sz w:val="20"/>
          <w:szCs w:val="20"/>
        </w:rPr>
      </w:pPr>
    </w:p>
    <w:p w14:paraId="794A68F3"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 2º</w:t>
      </w:r>
      <w:r w:rsidRPr="009A5E88">
        <w:rPr>
          <w:rFonts w:ascii="Arial" w:hAnsi="Arial" w:cs="Arial"/>
          <w:bCs/>
          <w:sz w:val="20"/>
          <w:szCs w:val="20"/>
        </w:rPr>
        <w:t xml:space="preserve"> A opção pelo REFIS suspenderá o andamento das ações de execuções fiscais em curso, mantendo-se as penhoras e garantias existentes, até a efetiva liquidação dos débitos consolidados.</w:t>
      </w:r>
    </w:p>
    <w:p w14:paraId="1422147A" w14:textId="77777777" w:rsidR="009A5E88" w:rsidRDefault="009A5E88" w:rsidP="009A5E88">
      <w:pPr>
        <w:spacing w:after="0"/>
        <w:ind w:firstLine="4502"/>
        <w:jc w:val="both"/>
        <w:rPr>
          <w:rFonts w:ascii="Arial" w:hAnsi="Arial" w:cs="Arial"/>
          <w:bCs/>
          <w:sz w:val="20"/>
          <w:szCs w:val="20"/>
        </w:rPr>
      </w:pPr>
    </w:p>
    <w:p w14:paraId="2D77827A"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 3º</w:t>
      </w:r>
      <w:r w:rsidRPr="009A5E88">
        <w:rPr>
          <w:rFonts w:ascii="Arial" w:hAnsi="Arial" w:cs="Arial"/>
          <w:bCs/>
          <w:sz w:val="20"/>
          <w:szCs w:val="20"/>
        </w:rPr>
        <w:t xml:space="preserve"> Os termos de parcelamento por ventura rescindidos, nos termos do disposto no "caput" deste artigo, acarretarão o estorno dos benefícios concedidos, sendo estes reduzidos na proporção das parcelas restantes.</w:t>
      </w:r>
    </w:p>
    <w:p w14:paraId="7EF5B14E" w14:textId="77777777" w:rsidR="009A5E88" w:rsidRDefault="009A5E88" w:rsidP="009A5E88">
      <w:pPr>
        <w:spacing w:after="0"/>
        <w:ind w:firstLine="4502"/>
        <w:jc w:val="both"/>
        <w:rPr>
          <w:rFonts w:ascii="Arial" w:hAnsi="Arial" w:cs="Arial"/>
          <w:bCs/>
          <w:sz w:val="20"/>
          <w:szCs w:val="20"/>
        </w:rPr>
      </w:pPr>
    </w:p>
    <w:p w14:paraId="409C02FA"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 4º</w:t>
      </w:r>
      <w:r w:rsidRPr="009A5E88">
        <w:rPr>
          <w:rFonts w:ascii="Arial" w:hAnsi="Arial" w:cs="Arial"/>
          <w:bCs/>
          <w:sz w:val="20"/>
          <w:szCs w:val="20"/>
        </w:rPr>
        <w:t xml:space="preserve"> Verificando-se a hipótese de desistência dos embargos à execução fiscal, condição para efetuar o REFIS, o devedor concordará com a suspensão do processo de execução pelo prazo do parcelamento a que se obrigou, obedecendo-se ao estabelecido no artigo 922 do Código de Processo Civil.</w:t>
      </w:r>
    </w:p>
    <w:p w14:paraId="58E616D8" w14:textId="77777777" w:rsidR="009A5E88" w:rsidRDefault="009A5E88" w:rsidP="009A5E88">
      <w:pPr>
        <w:spacing w:after="0"/>
        <w:ind w:firstLine="4502"/>
        <w:jc w:val="both"/>
        <w:rPr>
          <w:rFonts w:ascii="Arial" w:hAnsi="Arial" w:cs="Arial"/>
          <w:bCs/>
          <w:sz w:val="20"/>
          <w:szCs w:val="20"/>
        </w:rPr>
      </w:pPr>
    </w:p>
    <w:p w14:paraId="44B0B303" w14:textId="77777777"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t>§ 5º</w:t>
      </w:r>
      <w:r w:rsidRPr="009A5E88">
        <w:rPr>
          <w:rFonts w:ascii="Arial" w:hAnsi="Arial" w:cs="Arial"/>
          <w:bCs/>
          <w:sz w:val="20"/>
          <w:szCs w:val="20"/>
        </w:rPr>
        <w:t xml:space="preserve"> Liquidado o parcelamento nos termos desta da Lei Complementar, o Município informará o fato ao juízo da execução fiscal e requererá a sua extinção, com fundamento no inciso II do art. 924 do Código de Processo Civil.</w:t>
      </w:r>
    </w:p>
    <w:p w14:paraId="5BD5FEEE" w14:textId="77777777" w:rsidR="009A5E88" w:rsidRDefault="009A5E88" w:rsidP="009A5E88">
      <w:pPr>
        <w:spacing w:after="0"/>
        <w:jc w:val="both"/>
        <w:rPr>
          <w:rFonts w:ascii="Arial" w:hAnsi="Arial" w:cs="Arial"/>
          <w:bCs/>
          <w:sz w:val="20"/>
          <w:szCs w:val="20"/>
        </w:rPr>
      </w:pPr>
    </w:p>
    <w:p w14:paraId="2013CFB8" w14:textId="093F48BC" w:rsidR="009A5E88" w:rsidRDefault="009A5E88" w:rsidP="009A5E88">
      <w:pPr>
        <w:spacing w:after="0"/>
        <w:ind w:firstLine="4502"/>
        <w:jc w:val="both"/>
        <w:rPr>
          <w:rFonts w:ascii="Arial" w:hAnsi="Arial" w:cs="Arial"/>
          <w:bCs/>
          <w:sz w:val="20"/>
          <w:szCs w:val="20"/>
        </w:rPr>
      </w:pPr>
      <w:r w:rsidRPr="009A5E88">
        <w:rPr>
          <w:rFonts w:ascii="Arial" w:hAnsi="Arial" w:cs="Arial"/>
          <w:b/>
          <w:sz w:val="20"/>
          <w:szCs w:val="20"/>
        </w:rPr>
        <w:lastRenderedPageBreak/>
        <w:t>§ 6</w:t>
      </w:r>
      <w:r w:rsidRPr="009A5E88">
        <w:rPr>
          <w:rFonts w:ascii="Arial" w:hAnsi="Arial" w:cs="Arial"/>
          <w:b/>
          <w:sz w:val="20"/>
          <w:szCs w:val="20"/>
        </w:rPr>
        <w:t>°</w:t>
      </w:r>
      <w:r>
        <w:rPr>
          <w:rFonts w:ascii="Arial" w:hAnsi="Arial" w:cs="Arial"/>
          <w:bCs/>
          <w:sz w:val="20"/>
          <w:szCs w:val="20"/>
        </w:rPr>
        <w:t xml:space="preserve"> </w:t>
      </w:r>
      <w:r w:rsidRPr="009A5E88">
        <w:rPr>
          <w:rFonts w:ascii="Arial" w:hAnsi="Arial" w:cs="Arial"/>
          <w:bCs/>
          <w:sz w:val="20"/>
          <w:szCs w:val="20"/>
        </w:rPr>
        <w:t>Como condição para formalização do REFIS 2025, o contribuinte deverá concordar expressamente que o depósito judicial e ou penhora eventualmente realizados sejam levantados somente após efetivada a quitação do respectivo parcelamento.</w:t>
      </w:r>
    </w:p>
    <w:p w14:paraId="01EC9C96" w14:textId="77777777" w:rsidR="009A5E88" w:rsidRDefault="009A5E88" w:rsidP="009A5E88">
      <w:pPr>
        <w:spacing w:after="0"/>
        <w:ind w:firstLine="4502"/>
        <w:jc w:val="both"/>
        <w:rPr>
          <w:rFonts w:ascii="Arial" w:hAnsi="Arial" w:cs="Arial"/>
          <w:bCs/>
          <w:sz w:val="20"/>
          <w:szCs w:val="20"/>
        </w:rPr>
      </w:pPr>
    </w:p>
    <w:p w14:paraId="42F92F08" w14:textId="3DD01CD5" w:rsidR="009A5E88" w:rsidRPr="009A5E88" w:rsidRDefault="009A5E88" w:rsidP="009A5E88">
      <w:pPr>
        <w:spacing w:after="0"/>
        <w:ind w:firstLine="4502"/>
        <w:jc w:val="both"/>
        <w:rPr>
          <w:rFonts w:ascii="Arial" w:hAnsi="Arial" w:cs="Arial"/>
          <w:b/>
          <w:sz w:val="20"/>
          <w:szCs w:val="20"/>
        </w:rPr>
      </w:pPr>
      <w:r>
        <w:rPr>
          <w:rFonts w:ascii="Arial" w:hAnsi="Arial" w:cs="Arial"/>
          <w:b/>
          <w:sz w:val="20"/>
          <w:szCs w:val="20"/>
        </w:rPr>
        <w:t xml:space="preserve">Art. 5° </w:t>
      </w:r>
      <w:r w:rsidRPr="009A5E88">
        <w:rPr>
          <w:rFonts w:ascii="Arial" w:hAnsi="Arial" w:cs="Arial"/>
          <w:bCs/>
          <w:sz w:val="20"/>
          <w:szCs w:val="20"/>
        </w:rPr>
        <w:t>Aplica-se subsidiariamente a esta Lei Complementar o disposto no Código Tributário Municipal ou demais normas tributárias que regem a matéria.</w:t>
      </w:r>
    </w:p>
    <w:p w14:paraId="1D6B564C" w14:textId="77777777" w:rsidR="004E5226" w:rsidRDefault="004E5226" w:rsidP="00027230">
      <w:pPr>
        <w:spacing w:after="0"/>
        <w:ind w:firstLine="4502"/>
        <w:jc w:val="both"/>
        <w:rPr>
          <w:rFonts w:ascii="Arial" w:hAnsi="Arial" w:cs="Arial"/>
          <w:bCs/>
          <w:sz w:val="20"/>
          <w:szCs w:val="20"/>
        </w:rPr>
      </w:pPr>
    </w:p>
    <w:p w14:paraId="4A2B1EA7" w14:textId="77777777"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6º </w:t>
      </w:r>
      <w:r w:rsidRPr="009A5E88">
        <w:rPr>
          <w:rFonts w:ascii="Arial" w:hAnsi="Arial" w:cs="Arial"/>
          <w:bCs/>
          <w:sz w:val="20"/>
          <w:szCs w:val="20"/>
        </w:rPr>
        <w:t>O Poder Executivo deverá dar ampla divulgação ao Programa REFIS 2025, bem como ao Decreto que definirá os prazos de início e término para adesão ao mesmo.</w:t>
      </w:r>
    </w:p>
    <w:p w14:paraId="08181270" w14:textId="77777777" w:rsidR="009A5E88" w:rsidRDefault="009A5E88" w:rsidP="00027230">
      <w:pPr>
        <w:spacing w:after="0"/>
        <w:ind w:firstLine="4502"/>
        <w:jc w:val="both"/>
        <w:rPr>
          <w:rFonts w:ascii="Arial" w:hAnsi="Arial" w:cs="Arial"/>
          <w:bCs/>
          <w:sz w:val="20"/>
          <w:szCs w:val="20"/>
        </w:rPr>
      </w:pPr>
    </w:p>
    <w:p w14:paraId="451AE083" w14:textId="7343B8DE"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7º </w:t>
      </w:r>
      <w:r w:rsidRPr="009A5E88">
        <w:rPr>
          <w:rFonts w:ascii="Arial" w:hAnsi="Arial" w:cs="Arial"/>
          <w:bCs/>
          <w:sz w:val="20"/>
          <w:szCs w:val="20"/>
        </w:rPr>
        <w:t>O contribuinte do IPTU fica obrigado a realizar a atualização periódica de seus dados cadastrais perante o Cadastro Imobiliário, como condição para participar do presente REFIS, sempre que requerer qualquer documento e/ou informação junto ao Município.</w:t>
      </w:r>
    </w:p>
    <w:p w14:paraId="667AA73C" w14:textId="77777777" w:rsidR="009A5E88" w:rsidRDefault="009A5E88" w:rsidP="00027230">
      <w:pPr>
        <w:spacing w:after="0"/>
        <w:ind w:firstLine="4502"/>
        <w:jc w:val="both"/>
        <w:rPr>
          <w:rFonts w:ascii="Arial" w:hAnsi="Arial" w:cs="Arial"/>
          <w:bCs/>
          <w:sz w:val="20"/>
          <w:szCs w:val="20"/>
        </w:rPr>
      </w:pPr>
    </w:p>
    <w:p w14:paraId="4E8AA262" w14:textId="77777777" w:rsidR="009A5E88" w:rsidRDefault="009A5E88" w:rsidP="00027230">
      <w:pPr>
        <w:spacing w:after="0"/>
        <w:ind w:firstLine="4502"/>
        <w:jc w:val="both"/>
        <w:rPr>
          <w:rFonts w:ascii="Arial" w:hAnsi="Arial" w:cs="Arial"/>
          <w:bCs/>
          <w:sz w:val="20"/>
          <w:szCs w:val="20"/>
        </w:rPr>
      </w:pPr>
    </w:p>
    <w:p w14:paraId="6E9CA410" w14:textId="3F9C04D1"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8º </w:t>
      </w:r>
      <w:r w:rsidRPr="009A5E88">
        <w:rPr>
          <w:rFonts w:ascii="Arial" w:hAnsi="Arial" w:cs="Arial"/>
          <w:bCs/>
          <w:sz w:val="20"/>
          <w:szCs w:val="20"/>
        </w:rPr>
        <w:t>Na impossibilidade de efetuar o cálculo do valor do crédito previsto nesta Lei</w:t>
      </w:r>
      <w:r>
        <w:rPr>
          <w:rFonts w:ascii="Arial" w:hAnsi="Arial" w:cs="Arial"/>
          <w:bCs/>
          <w:sz w:val="20"/>
          <w:szCs w:val="20"/>
        </w:rPr>
        <w:t xml:space="preserve"> </w:t>
      </w:r>
      <w:r w:rsidRPr="009A5E88">
        <w:rPr>
          <w:rFonts w:ascii="Arial" w:hAnsi="Arial" w:cs="Arial"/>
          <w:bCs/>
          <w:sz w:val="20"/>
          <w:szCs w:val="20"/>
        </w:rPr>
        <w:t>Complementar, devido erros de migração de dados de mudanças de sistemas, erros de lançamentos, inclusive os arbitrados a que cabem revisão fiscal, o sujeito passivo postulante deverá aguardar o encerramento da respectiva ação fiscal, valores divergentes, baixa, arbitramento e outros eventuais erros que venham surgir, assim como no cadastro técnico, no Sistema Informatizado da Prefeitura, as correções serão feitas mediante processo administrativo à parte e, nestes casos, fica suspenso e prorrogado o prazo do REFIS 2025, sem nenhum prejuízo ao optante, em até 30 (trinta) dias, a partir da data de sua regularização e correções totalmente concluídas.</w:t>
      </w:r>
    </w:p>
    <w:p w14:paraId="118B8175" w14:textId="77777777" w:rsidR="009A5E88" w:rsidRDefault="009A5E88" w:rsidP="00027230">
      <w:pPr>
        <w:spacing w:after="0"/>
        <w:ind w:firstLine="4502"/>
        <w:jc w:val="both"/>
        <w:rPr>
          <w:rFonts w:ascii="Arial" w:hAnsi="Arial" w:cs="Arial"/>
          <w:bCs/>
          <w:sz w:val="20"/>
          <w:szCs w:val="20"/>
        </w:rPr>
      </w:pPr>
    </w:p>
    <w:p w14:paraId="146BB162" w14:textId="77777777"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9º </w:t>
      </w:r>
      <w:r w:rsidRPr="009A5E88">
        <w:rPr>
          <w:rFonts w:ascii="Arial" w:hAnsi="Arial" w:cs="Arial"/>
          <w:bCs/>
          <w:sz w:val="20"/>
          <w:szCs w:val="20"/>
        </w:rPr>
        <w:t>Fica autorizado o Poder Executivo a desistir das execuções fiscais na forma da legislação processual, de créditos prescritos, créditos cuja respectiva certidão de dívida ativa contenha vício, créditos cuja inscrição mobiliária esteja inativa e de outras irregularidades apuradas.</w:t>
      </w:r>
    </w:p>
    <w:p w14:paraId="1F5CD084" w14:textId="77777777" w:rsidR="009A5E88" w:rsidRDefault="009A5E88" w:rsidP="00027230">
      <w:pPr>
        <w:spacing w:after="0"/>
        <w:ind w:firstLine="4502"/>
        <w:jc w:val="both"/>
        <w:rPr>
          <w:rFonts w:ascii="Arial" w:hAnsi="Arial" w:cs="Arial"/>
          <w:bCs/>
          <w:sz w:val="20"/>
          <w:szCs w:val="20"/>
        </w:rPr>
      </w:pPr>
    </w:p>
    <w:p w14:paraId="2BF96B30" w14:textId="77777777"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10. </w:t>
      </w:r>
      <w:r w:rsidRPr="009A5E88">
        <w:rPr>
          <w:rFonts w:ascii="Arial" w:hAnsi="Arial" w:cs="Arial"/>
          <w:bCs/>
          <w:sz w:val="20"/>
          <w:szCs w:val="20"/>
        </w:rPr>
        <w:t>Fica o Poder Executivo autorizado a proceder às alterações decorrentes da implantação desta Lei Complementar, especialmente no que se refere aos critérios previstos no anexo de metas fiscais, constantes das Leis Orçamentárias. Parágrafo único. Na elaboração do orçamento anual, inclusive para os exercícios subsequentes, o Poder Executivo adotará as medidas necessárias ao atendimento do disposto no artigo 14 da Lei Complementar nº 101, de 04 de maio de 2000 - Lei de Responsabilidade Fiscal.</w:t>
      </w:r>
    </w:p>
    <w:p w14:paraId="67A7FC10" w14:textId="77777777" w:rsidR="009A5E88" w:rsidRDefault="009A5E88" w:rsidP="00027230">
      <w:pPr>
        <w:spacing w:after="0"/>
        <w:ind w:firstLine="4502"/>
        <w:jc w:val="both"/>
        <w:rPr>
          <w:rFonts w:ascii="Arial" w:hAnsi="Arial" w:cs="Arial"/>
          <w:bCs/>
          <w:sz w:val="20"/>
          <w:szCs w:val="20"/>
        </w:rPr>
      </w:pPr>
    </w:p>
    <w:p w14:paraId="47490E3D" w14:textId="77777777"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11. </w:t>
      </w:r>
      <w:r w:rsidRPr="009A5E88">
        <w:rPr>
          <w:rFonts w:ascii="Arial" w:hAnsi="Arial" w:cs="Arial"/>
          <w:bCs/>
          <w:sz w:val="20"/>
          <w:szCs w:val="20"/>
        </w:rPr>
        <w:t>As despesas com a execução da presente Lei correrão por conta de dotações orçamentárias próprias constantes no orçamento em vigor, suplementadas se necessário.</w:t>
      </w:r>
    </w:p>
    <w:p w14:paraId="0D5F2D79" w14:textId="77777777" w:rsidR="009A5E88" w:rsidRDefault="009A5E88" w:rsidP="00027230">
      <w:pPr>
        <w:spacing w:after="0"/>
        <w:ind w:firstLine="4502"/>
        <w:jc w:val="both"/>
        <w:rPr>
          <w:rFonts w:ascii="Arial" w:hAnsi="Arial" w:cs="Arial"/>
          <w:bCs/>
          <w:sz w:val="20"/>
          <w:szCs w:val="20"/>
        </w:rPr>
      </w:pPr>
    </w:p>
    <w:p w14:paraId="758728EC" w14:textId="58B40636" w:rsidR="009A5E88" w:rsidRDefault="009A5E88" w:rsidP="00027230">
      <w:pPr>
        <w:spacing w:after="0"/>
        <w:ind w:firstLine="4502"/>
        <w:jc w:val="both"/>
        <w:rPr>
          <w:rFonts w:ascii="Arial" w:hAnsi="Arial" w:cs="Arial"/>
          <w:bCs/>
          <w:sz w:val="20"/>
          <w:szCs w:val="20"/>
        </w:rPr>
      </w:pPr>
      <w:r w:rsidRPr="009A5E88">
        <w:rPr>
          <w:rFonts w:ascii="Arial" w:hAnsi="Arial" w:cs="Arial"/>
          <w:b/>
          <w:bCs/>
          <w:sz w:val="20"/>
          <w:szCs w:val="20"/>
        </w:rPr>
        <w:t xml:space="preserve">Art. 12. </w:t>
      </w:r>
      <w:r w:rsidRPr="009A5E88">
        <w:rPr>
          <w:rFonts w:ascii="Arial" w:hAnsi="Arial" w:cs="Arial"/>
          <w:bCs/>
          <w:sz w:val="20"/>
          <w:szCs w:val="20"/>
        </w:rPr>
        <w:t>Esta Lei entra em vigor na data de sua publicação, revogando as disposições em contrário.</w:t>
      </w:r>
    </w:p>
    <w:p w14:paraId="10E613B5" w14:textId="77777777" w:rsidR="009A5E88" w:rsidRPr="004E5226" w:rsidRDefault="009A5E88" w:rsidP="00027230">
      <w:pPr>
        <w:spacing w:after="0"/>
        <w:ind w:firstLine="4502"/>
        <w:jc w:val="both"/>
        <w:rPr>
          <w:rFonts w:ascii="Arial" w:hAnsi="Arial" w:cs="Arial"/>
          <w:bCs/>
          <w:sz w:val="20"/>
          <w:szCs w:val="20"/>
        </w:rPr>
      </w:pPr>
    </w:p>
    <w:p w14:paraId="1B397C98" w14:textId="77777777" w:rsidR="00617B98" w:rsidRDefault="00617B98" w:rsidP="00EE79EF">
      <w:pPr>
        <w:spacing w:after="0" w:line="240" w:lineRule="auto"/>
        <w:jc w:val="center"/>
        <w:rPr>
          <w:rFonts w:ascii="Arial" w:hAnsi="Arial" w:cs="Arial"/>
          <w:bCs/>
          <w:sz w:val="20"/>
          <w:szCs w:val="20"/>
        </w:rPr>
      </w:pPr>
    </w:p>
    <w:p w14:paraId="53FF3461" w14:textId="0B9CD8E5"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72CCB82F" w:rsidR="00A521D1" w:rsidRPr="000E534E" w:rsidRDefault="00227C46" w:rsidP="00A4679D">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21266E">
        <w:rPr>
          <w:rFonts w:ascii="Arial" w:hAnsi="Arial" w:cs="Arial"/>
          <w:bCs/>
          <w:sz w:val="20"/>
          <w:szCs w:val="20"/>
        </w:rPr>
        <w:t>0</w:t>
      </w:r>
      <w:r w:rsidR="009A5E88">
        <w:rPr>
          <w:rFonts w:ascii="Arial" w:hAnsi="Arial" w:cs="Arial"/>
          <w:bCs/>
          <w:sz w:val="20"/>
          <w:szCs w:val="20"/>
        </w:rPr>
        <w:t>3</w:t>
      </w:r>
      <w:r w:rsidR="00617B98">
        <w:rPr>
          <w:rFonts w:ascii="Arial" w:hAnsi="Arial" w:cs="Arial"/>
          <w:bCs/>
          <w:sz w:val="20"/>
          <w:szCs w:val="20"/>
        </w:rPr>
        <w:t>6</w:t>
      </w:r>
      <w:r w:rsidR="00335C02">
        <w:rPr>
          <w:rFonts w:ascii="Arial" w:hAnsi="Arial" w:cs="Arial"/>
          <w:bCs/>
          <w:sz w:val="20"/>
          <w:szCs w:val="20"/>
        </w:rPr>
        <w:t>/</w:t>
      </w:r>
      <w:r w:rsidRPr="00227C46">
        <w:rPr>
          <w:rFonts w:ascii="Arial" w:hAnsi="Arial" w:cs="Arial"/>
          <w:bCs/>
          <w:sz w:val="20"/>
          <w:szCs w:val="20"/>
        </w:rPr>
        <w:t>202</w:t>
      </w:r>
      <w:r w:rsidR="009A5E88">
        <w:rPr>
          <w:rFonts w:ascii="Arial" w:hAnsi="Arial" w:cs="Arial"/>
          <w:bCs/>
          <w:sz w:val="20"/>
          <w:szCs w:val="20"/>
        </w:rPr>
        <w:t>5</w:t>
      </w:r>
      <w:r w:rsidRPr="00227C46">
        <w:rPr>
          <w:rFonts w:ascii="Arial" w:hAnsi="Arial" w:cs="Arial"/>
          <w:bCs/>
          <w:sz w:val="20"/>
          <w:szCs w:val="20"/>
        </w:rPr>
        <w:t xml:space="preserve"> de autoria</w:t>
      </w:r>
      <w:r w:rsidR="00335C02">
        <w:rPr>
          <w:rFonts w:ascii="Arial" w:hAnsi="Arial" w:cs="Arial"/>
          <w:bCs/>
          <w:sz w:val="20"/>
          <w:szCs w:val="20"/>
        </w:rPr>
        <w:t xml:space="preserve"> </w:t>
      </w:r>
      <w:r w:rsidR="0021266E">
        <w:rPr>
          <w:rFonts w:ascii="Arial" w:hAnsi="Arial" w:cs="Arial"/>
          <w:bCs/>
          <w:sz w:val="20"/>
          <w:szCs w:val="20"/>
        </w:rPr>
        <w:t xml:space="preserve">do </w:t>
      </w:r>
      <w:r w:rsidR="009A5E88">
        <w:rPr>
          <w:rFonts w:ascii="Arial" w:hAnsi="Arial" w:cs="Arial"/>
          <w:bCs/>
          <w:sz w:val="20"/>
          <w:szCs w:val="20"/>
        </w:rPr>
        <w:t>Chefe do Poder Executivo Gilmar Soares Vicente “Lagoinha</w:t>
      </w:r>
      <w:r w:rsidR="0021266E">
        <w:rPr>
          <w:rFonts w:ascii="Arial" w:hAnsi="Arial" w:cs="Arial"/>
          <w:bCs/>
          <w:sz w:val="20"/>
          <w:szCs w:val="20"/>
        </w:rPr>
        <w:t>”</w:t>
      </w:r>
      <w:r w:rsidR="00335C02">
        <w:rPr>
          <w:rFonts w:ascii="Arial" w:hAnsi="Arial" w:cs="Arial"/>
          <w:bCs/>
          <w:sz w:val="20"/>
          <w:szCs w:val="20"/>
        </w:rPr>
        <w:t>,</w:t>
      </w:r>
      <w:r w:rsidR="00215380">
        <w:rPr>
          <w:rFonts w:ascii="Arial" w:hAnsi="Arial" w:cs="Arial"/>
          <w:bCs/>
          <w:sz w:val="20"/>
          <w:szCs w:val="20"/>
        </w:rPr>
        <w:t xml:space="preserve"> </w:t>
      </w:r>
      <w:r w:rsidR="009A5E88" w:rsidRPr="009A5E88">
        <w:rPr>
          <w:rFonts w:ascii="Arial" w:hAnsi="Arial" w:cs="Arial"/>
          <w:bCs/>
          <w:sz w:val="20"/>
          <w:szCs w:val="20"/>
        </w:rPr>
        <w:t xml:space="preserve">Redações do art. 1º., caput, e art. 3º., § 1º, dadas pelas Emenda Aditiva nº 001/2026, de 03 de março de 2026, de autoria dos Vereadores Wladimir Panelli, Anderson Cardoso da Silva, </w:t>
      </w:r>
      <w:r w:rsidR="009A5E88" w:rsidRPr="009A5E88">
        <w:rPr>
          <w:rFonts w:ascii="Arial" w:hAnsi="Arial" w:cs="Arial"/>
          <w:bCs/>
          <w:sz w:val="20"/>
          <w:szCs w:val="20"/>
        </w:rPr>
        <w:t>Ítalo</w:t>
      </w:r>
      <w:r w:rsidR="009A5E88" w:rsidRPr="009A5E88">
        <w:rPr>
          <w:rFonts w:ascii="Arial" w:hAnsi="Arial" w:cs="Arial"/>
          <w:bCs/>
          <w:sz w:val="20"/>
          <w:szCs w:val="20"/>
        </w:rPr>
        <w:t xml:space="preserve"> Vieira Sant`ana Meira, José Carlos Dantas de Menezes, Josemar Soares Vicente e Nelson Fiore Junior, registrado,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lastRenderedPageBreak/>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1C6E" w14:textId="77777777" w:rsidR="00646873" w:rsidRDefault="00646873" w:rsidP="001A155A">
      <w:pPr>
        <w:spacing w:after="0" w:line="240" w:lineRule="auto"/>
      </w:pPr>
      <w:r>
        <w:separator/>
      </w:r>
    </w:p>
  </w:endnote>
  <w:endnote w:type="continuationSeparator" w:id="0">
    <w:p w14:paraId="42DAF2FC" w14:textId="77777777" w:rsidR="00646873" w:rsidRDefault="00646873"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8C5F" w14:textId="77777777" w:rsidR="00646873" w:rsidRDefault="00646873" w:rsidP="001A155A">
      <w:pPr>
        <w:spacing w:after="0" w:line="240" w:lineRule="auto"/>
      </w:pPr>
      <w:r>
        <w:separator/>
      </w:r>
    </w:p>
  </w:footnote>
  <w:footnote w:type="continuationSeparator" w:id="0">
    <w:p w14:paraId="10621523" w14:textId="77777777" w:rsidR="00646873" w:rsidRDefault="00646873"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230"/>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109D"/>
    <w:rsid w:val="000B2636"/>
    <w:rsid w:val="000B271F"/>
    <w:rsid w:val="000B2808"/>
    <w:rsid w:val="000B2D24"/>
    <w:rsid w:val="000B2DFD"/>
    <w:rsid w:val="000B2F84"/>
    <w:rsid w:val="000B3DFE"/>
    <w:rsid w:val="000B3E67"/>
    <w:rsid w:val="000B4CCB"/>
    <w:rsid w:val="000B614B"/>
    <w:rsid w:val="000B6CEB"/>
    <w:rsid w:val="000B6FCC"/>
    <w:rsid w:val="000B72BC"/>
    <w:rsid w:val="000B7F0C"/>
    <w:rsid w:val="000C1CA8"/>
    <w:rsid w:val="000C1F75"/>
    <w:rsid w:val="000C25CA"/>
    <w:rsid w:val="000C306C"/>
    <w:rsid w:val="000C318E"/>
    <w:rsid w:val="000C374E"/>
    <w:rsid w:val="000D34DE"/>
    <w:rsid w:val="000D34F3"/>
    <w:rsid w:val="000D4BA5"/>
    <w:rsid w:val="000D7038"/>
    <w:rsid w:val="000D7C4A"/>
    <w:rsid w:val="000D7DF8"/>
    <w:rsid w:val="000E154A"/>
    <w:rsid w:val="000E3498"/>
    <w:rsid w:val="000E534E"/>
    <w:rsid w:val="000E60C9"/>
    <w:rsid w:val="000E63E8"/>
    <w:rsid w:val="000E6A22"/>
    <w:rsid w:val="000E71F3"/>
    <w:rsid w:val="000F5A7C"/>
    <w:rsid w:val="000F5D25"/>
    <w:rsid w:val="001018A0"/>
    <w:rsid w:val="00101B2F"/>
    <w:rsid w:val="00102E2C"/>
    <w:rsid w:val="0010413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451"/>
    <w:rsid w:val="001156A0"/>
    <w:rsid w:val="00116F98"/>
    <w:rsid w:val="00117A77"/>
    <w:rsid w:val="0012030A"/>
    <w:rsid w:val="00120F64"/>
    <w:rsid w:val="0012324A"/>
    <w:rsid w:val="00123CFC"/>
    <w:rsid w:val="001240F8"/>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20021A"/>
    <w:rsid w:val="00201F91"/>
    <w:rsid w:val="00202BEC"/>
    <w:rsid w:val="00203B0E"/>
    <w:rsid w:val="00203BB7"/>
    <w:rsid w:val="0020585D"/>
    <w:rsid w:val="0020592A"/>
    <w:rsid w:val="00205E56"/>
    <w:rsid w:val="0020607C"/>
    <w:rsid w:val="00206326"/>
    <w:rsid w:val="00206459"/>
    <w:rsid w:val="0021213E"/>
    <w:rsid w:val="0021266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BF7"/>
    <w:rsid w:val="00264003"/>
    <w:rsid w:val="00265B23"/>
    <w:rsid w:val="002669DB"/>
    <w:rsid w:val="00270418"/>
    <w:rsid w:val="00270F0C"/>
    <w:rsid w:val="00274416"/>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CC0"/>
    <w:rsid w:val="002C25EE"/>
    <w:rsid w:val="002C2F18"/>
    <w:rsid w:val="002C3445"/>
    <w:rsid w:val="002C3E2C"/>
    <w:rsid w:val="002C5560"/>
    <w:rsid w:val="002C59AB"/>
    <w:rsid w:val="002D1003"/>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2A0"/>
    <w:rsid w:val="003174D9"/>
    <w:rsid w:val="003203FB"/>
    <w:rsid w:val="00320648"/>
    <w:rsid w:val="00320DFE"/>
    <w:rsid w:val="003212E8"/>
    <w:rsid w:val="00321961"/>
    <w:rsid w:val="00324CE3"/>
    <w:rsid w:val="00324F32"/>
    <w:rsid w:val="00325EAF"/>
    <w:rsid w:val="00326F78"/>
    <w:rsid w:val="00327865"/>
    <w:rsid w:val="00327ACD"/>
    <w:rsid w:val="0033310A"/>
    <w:rsid w:val="00334C4E"/>
    <w:rsid w:val="00335C02"/>
    <w:rsid w:val="00336392"/>
    <w:rsid w:val="003367B1"/>
    <w:rsid w:val="003371F3"/>
    <w:rsid w:val="0033799B"/>
    <w:rsid w:val="003407DF"/>
    <w:rsid w:val="003409B5"/>
    <w:rsid w:val="00341CAB"/>
    <w:rsid w:val="00343C62"/>
    <w:rsid w:val="003447BB"/>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21"/>
    <w:rsid w:val="003716D0"/>
    <w:rsid w:val="00371835"/>
    <w:rsid w:val="00371C61"/>
    <w:rsid w:val="00372117"/>
    <w:rsid w:val="003740F9"/>
    <w:rsid w:val="00374298"/>
    <w:rsid w:val="003745BA"/>
    <w:rsid w:val="003747B1"/>
    <w:rsid w:val="00374FFD"/>
    <w:rsid w:val="003753C7"/>
    <w:rsid w:val="00375AFF"/>
    <w:rsid w:val="00376148"/>
    <w:rsid w:val="00376293"/>
    <w:rsid w:val="00380AAF"/>
    <w:rsid w:val="00381204"/>
    <w:rsid w:val="003815E5"/>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6EA0"/>
    <w:rsid w:val="00431B65"/>
    <w:rsid w:val="004321DB"/>
    <w:rsid w:val="00432373"/>
    <w:rsid w:val="004325B2"/>
    <w:rsid w:val="00434389"/>
    <w:rsid w:val="00435D25"/>
    <w:rsid w:val="00435F49"/>
    <w:rsid w:val="00440688"/>
    <w:rsid w:val="00440990"/>
    <w:rsid w:val="0044116D"/>
    <w:rsid w:val="00442CD5"/>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4E63"/>
    <w:rsid w:val="004B5017"/>
    <w:rsid w:val="004B5494"/>
    <w:rsid w:val="004B72FF"/>
    <w:rsid w:val="004C02DD"/>
    <w:rsid w:val="004C2FF3"/>
    <w:rsid w:val="004C343B"/>
    <w:rsid w:val="004C38A8"/>
    <w:rsid w:val="004C3C23"/>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431B"/>
    <w:rsid w:val="004D52A0"/>
    <w:rsid w:val="004D5E84"/>
    <w:rsid w:val="004D6C7C"/>
    <w:rsid w:val="004D7201"/>
    <w:rsid w:val="004E1606"/>
    <w:rsid w:val="004E1889"/>
    <w:rsid w:val="004E1892"/>
    <w:rsid w:val="004E1995"/>
    <w:rsid w:val="004E1E74"/>
    <w:rsid w:val="004E2691"/>
    <w:rsid w:val="004E27E6"/>
    <w:rsid w:val="004E3084"/>
    <w:rsid w:val="004E3DEF"/>
    <w:rsid w:val="004E3E2E"/>
    <w:rsid w:val="004E5226"/>
    <w:rsid w:val="004E5846"/>
    <w:rsid w:val="004E6719"/>
    <w:rsid w:val="004E6E30"/>
    <w:rsid w:val="004E7F19"/>
    <w:rsid w:val="004F6547"/>
    <w:rsid w:val="00500E92"/>
    <w:rsid w:val="00501889"/>
    <w:rsid w:val="005052F2"/>
    <w:rsid w:val="0050729E"/>
    <w:rsid w:val="00507D18"/>
    <w:rsid w:val="0051051E"/>
    <w:rsid w:val="00512571"/>
    <w:rsid w:val="00513400"/>
    <w:rsid w:val="00513A36"/>
    <w:rsid w:val="00513BDC"/>
    <w:rsid w:val="005161FC"/>
    <w:rsid w:val="00517387"/>
    <w:rsid w:val="0051741D"/>
    <w:rsid w:val="00520690"/>
    <w:rsid w:val="00520CD3"/>
    <w:rsid w:val="00521D60"/>
    <w:rsid w:val="00522E11"/>
    <w:rsid w:val="00522F5C"/>
    <w:rsid w:val="0052355F"/>
    <w:rsid w:val="005236EE"/>
    <w:rsid w:val="005238AA"/>
    <w:rsid w:val="0052414B"/>
    <w:rsid w:val="00524AB5"/>
    <w:rsid w:val="00524D2B"/>
    <w:rsid w:val="00525F26"/>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1A78"/>
    <w:rsid w:val="005434C1"/>
    <w:rsid w:val="0054375D"/>
    <w:rsid w:val="00544BD1"/>
    <w:rsid w:val="00546D54"/>
    <w:rsid w:val="00550F43"/>
    <w:rsid w:val="0055216B"/>
    <w:rsid w:val="00552DEC"/>
    <w:rsid w:val="0055441C"/>
    <w:rsid w:val="005544A5"/>
    <w:rsid w:val="00555464"/>
    <w:rsid w:val="00556DA1"/>
    <w:rsid w:val="005572A0"/>
    <w:rsid w:val="00557D74"/>
    <w:rsid w:val="005615A1"/>
    <w:rsid w:val="00561751"/>
    <w:rsid w:val="00561AA5"/>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5F3C"/>
    <w:rsid w:val="00586C29"/>
    <w:rsid w:val="00590A65"/>
    <w:rsid w:val="00590CDC"/>
    <w:rsid w:val="005917B9"/>
    <w:rsid w:val="00591A60"/>
    <w:rsid w:val="005931E7"/>
    <w:rsid w:val="005937C8"/>
    <w:rsid w:val="00593CA6"/>
    <w:rsid w:val="00595477"/>
    <w:rsid w:val="00596AD7"/>
    <w:rsid w:val="005A0981"/>
    <w:rsid w:val="005A11E9"/>
    <w:rsid w:val="005A1F08"/>
    <w:rsid w:val="005A1F80"/>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022"/>
    <w:rsid w:val="005E12F1"/>
    <w:rsid w:val="005E2C5F"/>
    <w:rsid w:val="005E31D1"/>
    <w:rsid w:val="005E68FC"/>
    <w:rsid w:val="005E7596"/>
    <w:rsid w:val="005F1300"/>
    <w:rsid w:val="005F2F9C"/>
    <w:rsid w:val="005F3FED"/>
    <w:rsid w:val="005F43BD"/>
    <w:rsid w:val="005F447A"/>
    <w:rsid w:val="005F4933"/>
    <w:rsid w:val="005F5940"/>
    <w:rsid w:val="005F5C39"/>
    <w:rsid w:val="005F67C4"/>
    <w:rsid w:val="005F6E7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17B98"/>
    <w:rsid w:val="0062002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FB9"/>
    <w:rsid w:val="00645BB1"/>
    <w:rsid w:val="00645FBA"/>
    <w:rsid w:val="00646873"/>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3175"/>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3D60"/>
    <w:rsid w:val="006C461B"/>
    <w:rsid w:val="006C4634"/>
    <w:rsid w:val="006C5163"/>
    <w:rsid w:val="006C5A91"/>
    <w:rsid w:val="006C5EFB"/>
    <w:rsid w:val="006C6C86"/>
    <w:rsid w:val="006C6D3A"/>
    <w:rsid w:val="006C7B04"/>
    <w:rsid w:val="006D06BF"/>
    <w:rsid w:val="006D2586"/>
    <w:rsid w:val="006D3643"/>
    <w:rsid w:val="006D3CB1"/>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6F9"/>
    <w:rsid w:val="00702973"/>
    <w:rsid w:val="00702BD0"/>
    <w:rsid w:val="007035F6"/>
    <w:rsid w:val="00703813"/>
    <w:rsid w:val="00704D2C"/>
    <w:rsid w:val="00704F5D"/>
    <w:rsid w:val="00707178"/>
    <w:rsid w:val="00707220"/>
    <w:rsid w:val="00707993"/>
    <w:rsid w:val="007114C0"/>
    <w:rsid w:val="00711BDB"/>
    <w:rsid w:val="007128BA"/>
    <w:rsid w:val="00712DB7"/>
    <w:rsid w:val="00713705"/>
    <w:rsid w:val="00715B8E"/>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81528"/>
    <w:rsid w:val="00781607"/>
    <w:rsid w:val="007819DA"/>
    <w:rsid w:val="00781B87"/>
    <w:rsid w:val="00784E95"/>
    <w:rsid w:val="00784FEE"/>
    <w:rsid w:val="00790627"/>
    <w:rsid w:val="007912F4"/>
    <w:rsid w:val="0079151E"/>
    <w:rsid w:val="007928A2"/>
    <w:rsid w:val="00792BBF"/>
    <w:rsid w:val="00793AC9"/>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E6E"/>
    <w:rsid w:val="007C6273"/>
    <w:rsid w:val="007C6D4D"/>
    <w:rsid w:val="007D0AC1"/>
    <w:rsid w:val="007D275B"/>
    <w:rsid w:val="007D3082"/>
    <w:rsid w:val="007D4496"/>
    <w:rsid w:val="007D4F86"/>
    <w:rsid w:val="007D7C65"/>
    <w:rsid w:val="007E0822"/>
    <w:rsid w:val="007E642A"/>
    <w:rsid w:val="007E73EE"/>
    <w:rsid w:val="007F1952"/>
    <w:rsid w:val="007F1995"/>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1ECE"/>
    <w:rsid w:val="00854D82"/>
    <w:rsid w:val="00855D46"/>
    <w:rsid w:val="00855E17"/>
    <w:rsid w:val="008568D9"/>
    <w:rsid w:val="00857C27"/>
    <w:rsid w:val="00860A92"/>
    <w:rsid w:val="00860ED0"/>
    <w:rsid w:val="00861540"/>
    <w:rsid w:val="008623F3"/>
    <w:rsid w:val="00862909"/>
    <w:rsid w:val="00862D05"/>
    <w:rsid w:val="00863FE5"/>
    <w:rsid w:val="00865205"/>
    <w:rsid w:val="00865322"/>
    <w:rsid w:val="00865655"/>
    <w:rsid w:val="00866382"/>
    <w:rsid w:val="00866750"/>
    <w:rsid w:val="00867B0B"/>
    <w:rsid w:val="008728E4"/>
    <w:rsid w:val="00872B14"/>
    <w:rsid w:val="00872F42"/>
    <w:rsid w:val="008730A6"/>
    <w:rsid w:val="0087358D"/>
    <w:rsid w:val="00873889"/>
    <w:rsid w:val="00873C88"/>
    <w:rsid w:val="00874468"/>
    <w:rsid w:val="00874BBD"/>
    <w:rsid w:val="008842E2"/>
    <w:rsid w:val="0088551E"/>
    <w:rsid w:val="0088635C"/>
    <w:rsid w:val="00887BB4"/>
    <w:rsid w:val="00887F0D"/>
    <w:rsid w:val="00890257"/>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986"/>
    <w:rsid w:val="008C0068"/>
    <w:rsid w:val="008C0E73"/>
    <w:rsid w:val="008C12F0"/>
    <w:rsid w:val="008C1C72"/>
    <w:rsid w:val="008C22D4"/>
    <w:rsid w:val="008C26EA"/>
    <w:rsid w:val="008C2F4F"/>
    <w:rsid w:val="008C4192"/>
    <w:rsid w:val="008C451C"/>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41CCE"/>
    <w:rsid w:val="0094205E"/>
    <w:rsid w:val="00944A94"/>
    <w:rsid w:val="00945285"/>
    <w:rsid w:val="009459AE"/>
    <w:rsid w:val="0094793D"/>
    <w:rsid w:val="00947FB8"/>
    <w:rsid w:val="00952192"/>
    <w:rsid w:val="0095415F"/>
    <w:rsid w:val="00954368"/>
    <w:rsid w:val="0095507C"/>
    <w:rsid w:val="00955FE1"/>
    <w:rsid w:val="009566C4"/>
    <w:rsid w:val="00957766"/>
    <w:rsid w:val="00957B0E"/>
    <w:rsid w:val="00960871"/>
    <w:rsid w:val="009625D2"/>
    <w:rsid w:val="00962FC9"/>
    <w:rsid w:val="00964583"/>
    <w:rsid w:val="0096589B"/>
    <w:rsid w:val="00970753"/>
    <w:rsid w:val="00970F02"/>
    <w:rsid w:val="0097333E"/>
    <w:rsid w:val="00977D69"/>
    <w:rsid w:val="00983E36"/>
    <w:rsid w:val="00984646"/>
    <w:rsid w:val="0098696A"/>
    <w:rsid w:val="00986E50"/>
    <w:rsid w:val="0098702C"/>
    <w:rsid w:val="009875B0"/>
    <w:rsid w:val="00995433"/>
    <w:rsid w:val="00995DE9"/>
    <w:rsid w:val="00996E67"/>
    <w:rsid w:val="009A041E"/>
    <w:rsid w:val="009A170D"/>
    <w:rsid w:val="009A24C8"/>
    <w:rsid w:val="009A3C4B"/>
    <w:rsid w:val="009A467C"/>
    <w:rsid w:val="009A5663"/>
    <w:rsid w:val="009A5AE4"/>
    <w:rsid w:val="009A5E88"/>
    <w:rsid w:val="009A616A"/>
    <w:rsid w:val="009A64B5"/>
    <w:rsid w:val="009A6D05"/>
    <w:rsid w:val="009A7BF0"/>
    <w:rsid w:val="009B1702"/>
    <w:rsid w:val="009B2F48"/>
    <w:rsid w:val="009B4710"/>
    <w:rsid w:val="009B55E8"/>
    <w:rsid w:val="009B61C7"/>
    <w:rsid w:val="009C0064"/>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B79"/>
    <w:rsid w:val="00A1185F"/>
    <w:rsid w:val="00A14E5A"/>
    <w:rsid w:val="00A16A0D"/>
    <w:rsid w:val="00A17419"/>
    <w:rsid w:val="00A178E8"/>
    <w:rsid w:val="00A179C0"/>
    <w:rsid w:val="00A20F3E"/>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79D"/>
    <w:rsid w:val="00A46868"/>
    <w:rsid w:val="00A47BBA"/>
    <w:rsid w:val="00A50596"/>
    <w:rsid w:val="00A51ACA"/>
    <w:rsid w:val="00A521D1"/>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80C2D"/>
    <w:rsid w:val="00A82060"/>
    <w:rsid w:val="00A832FE"/>
    <w:rsid w:val="00A83A58"/>
    <w:rsid w:val="00A840B4"/>
    <w:rsid w:val="00A842E1"/>
    <w:rsid w:val="00A84D06"/>
    <w:rsid w:val="00A855A1"/>
    <w:rsid w:val="00A85BC8"/>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5201"/>
    <w:rsid w:val="00B65960"/>
    <w:rsid w:val="00B663FF"/>
    <w:rsid w:val="00B6684D"/>
    <w:rsid w:val="00B6783A"/>
    <w:rsid w:val="00B727D0"/>
    <w:rsid w:val="00B73858"/>
    <w:rsid w:val="00B73F5D"/>
    <w:rsid w:val="00B75845"/>
    <w:rsid w:val="00B75BA3"/>
    <w:rsid w:val="00B76852"/>
    <w:rsid w:val="00B76870"/>
    <w:rsid w:val="00B77A36"/>
    <w:rsid w:val="00B80649"/>
    <w:rsid w:val="00B8150B"/>
    <w:rsid w:val="00B8325E"/>
    <w:rsid w:val="00B83268"/>
    <w:rsid w:val="00B85F4F"/>
    <w:rsid w:val="00B87000"/>
    <w:rsid w:val="00B8706C"/>
    <w:rsid w:val="00B874B9"/>
    <w:rsid w:val="00B9030C"/>
    <w:rsid w:val="00B914A9"/>
    <w:rsid w:val="00B9231E"/>
    <w:rsid w:val="00B92A86"/>
    <w:rsid w:val="00B92E52"/>
    <w:rsid w:val="00B93474"/>
    <w:rsid w:val="00B94BFD"/>
    <w:rsid w:val="00B9659B"/>
    <w:rsid w:val="00B97E4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7694"/>
    <w:rsid w:val="00BC7E54"/>
    <w:rsid w:val="00BD1F2B"/>
    <w:rsid w:val="00BD2B6B"/>
    <w:rsid w:val="00BD30D5"/>
    <w:rsid w:val="00BD3101"/>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402E8"/>
    <w:rsid w:val="00C406A5"/>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768F"/>
    <w:rsid w:val="00C800C6"/>
    <w:rsid w:val="00C8041B"/>
    <w:rsid w:val="00C81210"/>
    <w:rsid w:val="00C8194E"/>
    <w:rsid w:val="00C838BF"/>
    <w:rsid w:val="00C865DE"/>
    <w:rsid w:val="00C90AEC"/>
    <w:rsid w:val="00C925CE"/>
    <w:rsid w:val="00C92676"/>
    <w:rsid w:val="00C93D38"/>
    <w:rsid w:val="00C94B83"/>
    <w:rsid w:val="00C94BBA"/>
    <w:rsid w:val="00C96455"/>
    <w:rsid w:val="00C9696B"/>
    <w:rsid w:val="00C97FAD"/>
    <w:rsid w:val="00CA0412"/>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A5B"/>
    <w:rsid w:val="00D12062"/>
    <w:rsid w:val="00D12457"/>
    <w:rsid w:val="00D12839"/>
    <w:rsid w:val="00D13028"/>
    <w:rsid w:val="00D132E1"/>
    <w:rsid w:val="00D1347A"/>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0CA"/>
    <w:rsid w:val="00D349F3"/>
    <w:rsid w:val="00D34D76"/>
    <w:rsid w:val="00D40D06"/>
    <w:rsid w:val="00D40EEC"/>
    <w:rsid w:val="00D41BF3"/>
    <w:rsid w:val="00D423CF"/>
    <w:rsid w:val="00D42439"/>
    <w:rsid w:val="00D4360C"/>
    <w:rsid w:val="00D44751"/>
    <w:rsid w:val="00D46BE6"/>
    <w:rsid w:val="00D46EAB"/>
    <w:rsid w:val="00D47306"/>
    <w:rsid w:val="00D4733F"/>
    <w:rsid w:val="00D5162E"/>
    <w:rsid w:val="00D51C9F"/>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2656"/>
    <w:rsid w:val="00D92BFC"/>
    <w:rsid w:val="00D94AF0"/>
    <w:rsid w:val="00D95D5D"/>
    <w:rsid w:val="00DA156A"/>
    <w:rsid w:val="00DA29BA"/>
    <w:rsid w:val="00DA3507"/>
    <w:rsid w:val="00DA363B"/>
    <w:rsid w:val="00DA3DBE"/>
    <w:rsid w:val="00DA5D0F"/>
    <w:rsid w:val="00DA62AA"/>
    <w:rsid w:val="00DA72A5"/>
    <w:rsid w:val="00DA79A1"/>
    <w:rsid w:val="00DB1634"/>
    <w:rsid w:val="00DB1CF6"/>
    <w:rsid w:val="00DB29BA"/>
    <w:rsid w:val="00DB53F3"/>
    <w:rsid w:val="00DB6D22"/>
    <w:rsid w:val="00DB7033"/>
    <w:rsid w:val="00DC06D2"/>
    <w:rsid w:val="00DC0AF9"/>
    <w:rsid w:val="00DC0CA8"/>
    <w:rsid w:val="00DC2616"/>
    <w:rsid w:val="00DC403E"/>
    <w:rsid w:val="00DC5390"/>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3946"/>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B00CF"/>
    <w:rsid w:val="00EB03BD"/>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376"/>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384F"/>
    <w:rsid w:val="00F2496C"/>
    <w:rsid w:val="00F25319"/>
    <w:rsid w:val="00F256A0"/>
    <w:rsid w:val="00F257AA"/>
    <w:rsid w:val="00F26B68"/>
    <w:rsid w:val="00F26CBB"/>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369F"/>
    <w:rsid w:val="00F8460B"/>
    <w:rsid w:val="00F8674E"/>
    <w:rsid w:val="00F8757C"/>
    <w:rsid w:val="00F918D2"/>
    <w:rsid w:val="00F91CC1"/>
    <w:rsid w:val="00F947A8"/>
    <w:rsid w:val="00F9568F"/>
    <w:rsid w:val="00F96F23"/>
    <w:rsid w:val="00F97BF7"/>
    <w:rsid w:val="00FA12CB"/>
    <w:rsid w:val="00FA1A02"/>
    <w:rsid w:val="00FA2D6C"/>
    <w:rsid w:val="00FA5283"/>
    <w:rsid w:val="00FA700E"/>
    <w:rsid w:val="00FA766B"/>
    <w:rsid w:val="00FA7CBD"/>
    <w:rsid w:val="00FB0C92"/>
    <w:rsid w:val="00FB10B2"/>
    <w:rsid w:val="00FB1620"/>
    <w:rsid w:val="00FB47E9"/>
    <w:rsid w:val="00FB4862"/>
    <w:rsid w:val="00FB505E"/>
    <w:rsid w:val="00FB5154"/>
    <w:rsid w:val="00FB5502"/>
    <w:rsid w:val="00FB589F"/>
    <w:rsid w:val="00FB61A7"/>
    <w:rsid w:val="00FB7C2C"/>
    <w:rsid w:val="00FC061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1897</Words>
  <Characters>10245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dcterms:created xsi:type="dcterms:W3CDTF">2026-05-04T12:43:00Z</dcterms:created>
  <dcterms:modified xsi:type="dcterms:W3CDTF">2026-05-04T14:21:00Z</dcterms:modified>
</cp:coreProperties>
</file>